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6891" w:rsidRDefault="006958CC">
      <w:pPr>
        <w:pBdr>
          <w:top w:val="nil"/>
          <w:left w:val="nil"/>
          <w:bottom w:val="nil"/>
          <w:right w:val="nil"/>
          <w:between w:val="nil"/>
        </w:pBdr>
        <w:rPr>
          <w:rFonts w:ascii="Arial" w:eastAsia="Arial" w:hAnsi="Arial" w:cs="Arial"/>
          <w:b/>
          <w:color w:val="000000"/>
          <w:sz w:val="36"/>
          <w:szCs w:val="36"/>
        </w:rPr>
      </w:pPr>
      <w:r>
        <w:rPr>
          <w:rFonts w:ascii="Arial" w:eastAsia="Arial" w:hAnsi="Arial" w:cs="Arial"/>
          <w:b/>
          <w:color w:val="000000"/>
          <w:sz w:val="36"/>
          <w:szCs w:val="36"/>
        </w:rPr>
        <w:t>Schedule 1 (Definitions)</w:t>
      </w:r>
    </w:p>
    <w:p w:rsidR="009F6891" w:rsidRDefault="006958CC">
      <w:pPr>
        <w:keepNext/>
        <w:numPr>
          <w:ilvl w:val="0"/>
          <w:numId w:val="15"/>
        </w:numPr>
        <w:pBdr>
          <w:top w:val="nil"/>
          <w:left w:val="nil"/>
          <w:bottom w:val="nil"/>
          <w:right w:val="nil"/>
          <w:between w:val="nil"/>
        </w:pBdr>
        <w:tabs>
          <w:tab w:val="left" w:pos="-360"/>
        </w:tabs>
        <w:spacing w:before="120" w:after="240" w:line="240" w:lineRule="auto"/>
        <w:rPr>
          <w:rFonts w:ascii="Arial" w:eastAsia="Arial" w:hAnsi="Arial" w:cs="Arial"/>
          <w:b/>
        </w:rPr>
      </w:pPr>
      <w:r>
        <w:rPr>
          <w:rFonts w:ascii="Arial" w:eastAsia="Arial" w:hAnsi="Arial" w:cs="Arial"/>
          <w:b/>
          <w:color w:val="000000"/>
          <w:sz w:val="24"/>
          <w:szCs w:val="24"/>
        </w:rPr>
        <w:t>Definitions</w:t>
      </w:r>
    </w:p>
    <w:p w:rsidR="009F6891" w:rsidRDefault="006958CC">
      <w:pPr>
        <w:numPr>
          <w:ilvl w:val="1"/>
          <w:numId w:val="15"/>
        </w:numPr>
        <w:pBdr>
          <w:top w:val="nil"/>
          <w:left w:val="nil"/>
          <w:bottom w:val="nil"/>
          <w:right w:val="nil"/>
          <w:between w:val="nil"/>
        </w:pBdr>
        <w:tabs>
          <w:tab w:val="left" w:pos="0"/>
        </w:tabs>
        <w:spacing w:before="120" w:after="120" w:line="240" w:lineRule="auto"/>
        <w:ind w:left="1134" w:hanging="567"/>
      </w:pPr>
      <w:r>
        <w:rPr>
          <w:rFonts w:ascii="Arial" w:eastAsia="Arial" w:hAnsi="Arial" w:cs="Arial"/>
          <w:color w:val="000000"/>
          <w:sz w:val="24"/>
          <w:szCs w:val="24"/>
        </w:rPr>
        <w:t>In this Contract, unless the context otherwise requires, capitalised expressions shall have the meanings set out in this Schedule 1 (Definitions) or the relevant Schedule in which that capitalised expression appears.</w:t>
      </w:r>
    </w:p>
    <w:p w:rsidR="009F6891" w:rsidRDefault="006958CC">
      <w:pPr>
        <w:numPr>
          <w:ilvl w:val="1"/>
          <w:numId w:val="15"/>
        </w:numPr>
        <w:pBdr>
          <w:top w:val="nil"/>
          <w:left w:val="nil"/>
          <w:bottom w:val="nil"/>
          <w:right w:val="nil"/>
          <w:between w:val="nil"/>
        </w:pBdr>
        <w:tabs>
          <w:tab w:val="left" w:pos="0"/>
        </w:tabs>
        <w:spacing w:before="120" w:after="120" w:line="240" w:lineRule="auto"/>
        <w:ind w:left="1134" w:hanging="567"/>
      </w:pPr>
      <w:r>
        <w:rPr>
          <w:rFonts w:ascii="Arial" w:eastAsia="Arial" w:hAnsi="Arial" w:cs="Arial"/>
          <w:color w:val="000000"/>
          <w:sz w:val="24"/>
          <w:szCs w:val="24"/>
        </w:rPr>
        <w:t>If a capitalised expression does not hav</w:t>
      </w:r>
      <w:bookmarkStart w:id="0" w:name="_GoBack"/>
      <w:bookmarkEnd w:id="0"/>
      <w:r>
        <w:rPr>
          <w:rFonts w:ascii="Arial" w:eastAsia="Arial" w:hAnsi="Arial" w:cs="Arial"/>
          <w:color w:val="000000"/>
          <w:sz w:val="24"/>
          <w:szCs w:val="24"/>
        </w:rPr>
        <w:t>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9F6891" w:rsidRDefault="006958CC">
      <w:pPr>
        <w:keepNext/>
        <w:numPr>
          <w:ilvl w:val="1"/>
          <w:numId w:val="15"/>
        </w:numPr>
        <w:pBdr>
          <w:top w:val="nil"/>
          <w:left w:val="nil"/>
          <w:bottom w:val="nil"/>
          <w:right w:val="nil"/>
          <w:between w:val="nil"/>
        </w:pBdr>
        <w:tabs>
          <w:tab w:val="left" w:pos="0"/>
        </w:tabs>
        <w:spacing w:before="120" w:after="120" w:line="240" w:lineRule="auto"/>
        <w:ind w:left="1134" w:hanging="567"/>
      </w:pPr>
      <w:r>
        <w:rPr>
          <w:rFonts w:ascii="Arial" w:eastAsia="Arial" w:hAnsi="Arial" w:cs="Arial"/>
          <w:color w:val="000000"/>
          <w:sz w:val="24"/>
          <w:szCs w:val="24"/>
        </w:rPr>
        <w:t>In this Contract, unless the context otherwise requires:</w:t>
      </w:r>
    </w:p>
    <w:p w:rsidR="009F6891" w:rsidRDefault="006958CC">
      <w:pPr>
        <w:numPr>
          <w:ilvl w:val="2"/>
          <w:numId w:val="15"/>
        </w:numPr>
        <w:pBdr>
          <w:top w:val="nil"/>
          <w:left w:val="nil"/>
          <w:bottom w:val="nil"/>
          <w:right w:val="nil"/>
          <w:between w:val="nil"/>
        </w:pBdr>
        <w:tabs>
          <w:tab w:val="left" w:pos="0"/>
          <w:tab w:val="left" w:pos="142"/>
        </w:tabs>
        <w:spacing w:before="120" w:after="120" w:line="240" w:lineRule="auto"/>
        <w:ind w:left="1985" w:hanging="851"/>
        <w:rPr>
          <w:rFonts w:ascii="Arial" w:eastAsia="Arial" w:hAnsi="Arial" w:cs="Arial"/>
        </w:rPr>
      </w:pPr>
      <w:r>
        <w:rPr>
          <w:rFonts w:ascii="Arial" w:eastAsia="Arial" w:hAnsi="Arial" w:cs="Arial"/>
          <w:color w:val="000000"/>
          <w:sz w:val="24"/>
          <w:szCs w:val="24"/>
        </w:rPr>
        <w:t>reference to a gender includes the other gender and the neuter;</w:t>
      </w:r>
    </w:p>
    <w:p w:rsidR="009F6891" w:rsidRDefault="006958CC">
      <w:pPr>
        <w:numPr>
          <w:ilvl w:val="2"/>
          <w:numId w:val="15"/>
        </w:numPr>
        <w:pBdr>
          <w:top w:val="nil"/>
          <w:left w:val="nil"/>
          <w:bottom w:val="nil"/>
          <w:right w:val="nil"/>
          <w:between w:val="nil"/>
        </w:pBdr>
        <w:tabs>
          <w:tab w:val="left" w:pos="0"/>
          <w:tab w:val="left" w:pos="142"/>
        </w:tabs>
        <w:spacing w:before="120" w:after="120" w:line="240" w:lineRule="auto"/>
        <w:ind w:left="1985" w:hanging="851"/>
        <w:rPr>
          <w:rFonts w:ascii="Arial" w:eastAsia="Arial" w:hAnsi="Arial" w:cs="Arial"/>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rsidR="009F6891" w:rsidRDefault="006958CC">
      <w:pPr>
        <w:numPr>
          <w:ilvl w:val="2"/>
          <w:numId w:val="15"/>
        </w:numPr>
        <w:pBdr>
          <w:top w:val="nil"/>
          <w:left w:val="nil"/>
          <w:bottom w:val="nil"/>
          <w:right w:val="nil"/>
          <w:between w:val="nil"/>
        </w:pBdr>
        <w:tabs>
          <w:tab w:val="left" w:pos="0"/>
          <w:tab w:val="left" w:pos="142"/>
        </w:tabs>
        <w:spacing w:before="120" w:after="120" w:line="240" w:lineRule="auto"/>
        <w:ind w:left="1985" w:hanging="851"/>
        <w:rPr>
          <w:rFonts w:ascii="Arial" w:eastAsia="Arial" w:hAnsi="Arial" w:cs="Arial"/>
        </w:rPr>
      </w:pPr>
      <w:r>
        <w:rPr>
          <w:rFonts w:ascii="Arial" w:eastAsia="Arial" w:hAnsi="Arial" w:cs="Arial"/>
          <w:color w:val="000000"/>
          <w:sz w:val="24"/>
          <w:szCs w:val="24"/>
        </w:rPr>
        <w:t>a reference to any Law includes a reference to that Law as amended, extended, consolidated, replaced or re-enacted from time to time (including as a consequence of the Retained EU Law (Revocation and Reform) Act 2023);</w:t>
      </w:r>
    </w:p>
    <w:p w:rsidR="009F6891" w:rsidRDefault="006958CC">
      <w:pPr>
        <w:numPr>
          <w:ilvl w:val="2"/>
          <w:numId w:val="15"/>
        </w:numPr>
        <w:pBdr>
          <w:top w:val="nil"/>
          <w:left w:val="nil"/>
          <w:bottom w:val="nil"/>
          <w:right w:val="nil"/>
          <w:between w:val="nil"/>
        </w:pBdr>
        <w:tabs>
          <w:tab w:val="left" w:pos="0"/>
          <w:tab w:val="left" w:pos="142"/>
        </w:tabs>
        <w:spacing w:before="120" w:after="120" w:line="240" w:lineRule="auto"/>
        <w:ind w:left="1985" w:hanging="851"/>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9F6891" w:rsidRDefault="006958CC">
      <w:pPr>
        <w:numPr>
          <w:ilvl w:val="2"/>
          <w:numId w:val="15"/>
        </w:numPr>
        <w:pBdr>
          <w:top w:val="nil"/>
          <w:left w:val="nil"/>
          <w:bottom w:val="nil"/>
          <w:right w:val="nil"/>
          <w:between w:val="nil"/>
        </w:pBdr>
        <w:tabs>
          <w:tab w:val="left" w:pos="0"/>
          <w:tab w:val="left" w:pos="142"/>
        </w:tabs>
        <w:spacing w:before="120" w:after="120" w:line="240" w:lineRule="auto"/>
        <w:ind w:left="1985" w:hanging="851"/>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9F6891" w:rsidRDefault="006958CC">
      <w:pPr>
        <w:numPr>
          <w:ilvl w:val="2"/>
          <w:numId w:val="15"/>
        </w:numPr>
        <w:pBdr>
          <w:top w:val="nil"/>
          <w:left w:val="nil"/>
          <w:bottom w:val="nil"/>
          <w:right w:val="nil"/>
          <w:between w:val="nil"/>
        </w:pBdr>
        <w:tabs>
          <w:tab w:val="left" w:pos="0"/>
          <w:tab w:val="left" w:pos="142"/>
        </w:tabs>
        <w:spacing w:before="120" w:after="120" w:line="240" w:lineRule="auto"/>
        <w:ind w:left="1985" w:hanging="851"/>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this Contract; </w:t>
      </w:r>
    </w:p>
    <w:p w:rsidR="009F6891" w:rsidRDefault="006958CC">
      <w:pPr>
        <w:numPr>
          <w:ilvl w:val="2"/>
          <w:numId w:val="15"/>
        </w:numPr>
        <w:pBdr>
          <w:top w:val="nil"/>
          <w:left w:val="nil"/>
          <w:bottom w:val="nil"/>
          <w:right w:val="nil"/>
          <w:between w:val="nil"/>
        </w:pBdr>
        <w:tabs>
          <w:tab w:val="left" w:pos="0"/>
          <w:tab w:val="left" w:pos="142"/>
        </w:tabs>
        <w:spacing w:before="120" w:after="120" w:line="240" w:lineRule="auto"/>
        <w:ind w:left="1985" w:hanging="851"/>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9F6891" w:rsidRDefault="006958CC">
      <w:pPr>
        <w:numPr>
          <w:ilvl w:val="2"/>
          <w:numId w:val="15"/>
        </w:numPr>
        <w:pBdr>
          <w:top w:val="nil"/>
          <w:left w:val="nil"/>
          <w:bottom w:val="nil"/>
          <w:right w:val="nil"/>
          <w:between w:val="nil"/>
        </w:pBdr>
        <w:tabs>
          <w:tab w:val="left" w:pos="0"/>
          <w:tab w:val="left" w:pos="142"/>
        </w:tabs>
        <w:spacing w:before="120" w:after="120" w:line="240" w:lineRule="auto"/>
        <w:ind w:left="1985" w:hanging="851"/>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9F6891" w:rsidRDefault="006958CC">
      <w:pPr>
        <w:numPr>
          <w:ilvl w:val="2"/>
          <w:numId w:val="15"/>
        </w:numPr>
        <w:pBdr>
          <w:top w:val="nil"/>
          <w:left w:val="nil"/>
          <w:bottom w:val="nil"/>
          <w:right w:val="nil"/>
          <w:between w:val="nil"/>
        </w:pBdr>
        <w:tabs>
          <w:tab w:val="left" w:pos="0"/>
          <w:tab w:val="left" w:pos="142"/>
        </w:tabs>
        <w:spacing w:before="120" w:after="120" w:line="240" w:lineRule="auto"/>
        <w:ind w:left="1985" w:hanging="851"/>
        <w:rPr>
          <w:rFonts w:ascii="Arial" w:eastAsia="Arial" w:hAnsi="Arial" w:cs="Arial"/>
        </w:rPr>
      </w:pPr>
      <w:r>
        <w:rPr>
          <w:rFonts w:ascii="Arial" w:eastAsia="Arial" w:hAnsi="Arial" w:cs="Arial"/>
          <w:color w:val="000000"/>
          <w:sz w:val="24"/>
          <w:szCs w:val="24"/>
        </w:rPr>
        <w:lastRenderedPageBreak/>
        <w:t>references to a series of Clauses or Paragraphs shall be inclusive of the clause numbers specified;</w:t>
      </w:r>
    </w:p>
    <w:p w:rsidR="009F6891" w:rsidRDefault="006958CC">
      <w:pPr>
        <w:numPr>
          <w:ilvl w:val="2"/>
          <w:numId w:val="15"/>
        </w:numPr>
        <w:pBdr>
          <w:top w:val="nil"/>
          <w:left w:val="nil"/>
          <w:bottom w:val="nil"/>
          <w:right w:val="nil"/>
          <w:between w:val="nil"/>
        </w:pBdr>
        <w:tabs>
          <w:tab w:val="left" w:pos="0"/>
          <w:tab w:val="left" w:pos="142"/>
        </w:tabs>
        <w:spacing w:before="120" w:after="120" w:line="240" w:lineRule="auto"/>
        <w:ind w:left="1985" w:hanging="851"/>
        <w:rPr>
          <w:rFonts w:ascii="Arial" w:eastAsia="Arial" w:hAnsi="Arial" w:cs="Arial"/>
        </w:rPr>
      </w:pPr>
      <w:r>
        <w:rPr>
          <w:rFonts w:ascii="Arial" w:eastAsia="Arial" w:hAnsi="Arial" w:cs="Arial"/>
          <w:color w:val="000000"/>
          <w:sz w:val="24"/>
          <w:szCs w:val="24"/>
        </w:rPr>
        <w:t>where the Buyer is a Crown Body the Supplier shall be treated as contracting with the Crown as a whole; and</w:t>
      </w:r>
    </w:p>
    <w:p w:rsidR="009F6891" w:rsidRDefault="006958CC">
      <w:pPr>
        <w:numPr>
          <w:ilvl w:val="2"/>
          <w:numId w:val="15"/>
        </w:numPr>
        <w:pBdr>
          <w:top w:val="nil"/>
          <w:left w:val="nil"/>
          <w:bottom w:val="nil"/>
          <w:right w:val="nil"/>
          <w:between w:val="nil"/>
        </w:pBdr>
        <w:tabs>
          <w:tab w:val="left" w:pos="0"/>
          <w:tab w:val="left" w:pos="142"/>
        </w:tabs>
        <w:spacing w:before="120" w:after="120" w:line="240" w:lineRule="auto"/>
        <w:ind w:left="1985" w:hanging="851"/>
      </w:pPr>
      <w:r>
        <w:rPr>
          <w:rFonts w:ascii="Arial" w:eastAsia="Arial" w:hAnsi="Arial" w:cs="Arial"/>
          <w:color w:val="000000"/>
          <w:sz w:val="24"/>
          <w:szCs w:val="24"/>
        </w:rPr>
        <w:t>Any reference in this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w:t>
      </w:r>
    </w:p>
    <w:p w:rsidR="009F6891" w:rsidRDefault="006958CC">
      <w:pPr>
        <w:keepNext/>
        <w:numPr>
          <w:ilvl w:val="1"/>
          <w:numId w:val="15"/>
        </w:numPr>
        <w:pBdr>
          <w:top w:val="nil"/>
          <w:left w:val="nil"/>
          <w:bottom w:val="nil"/>
          <w:right w:val="nil"/>
          <w:between w:val="nil"/>
        </w:pBdr>
        <w:tabs>
          <w:tab w:val="left" w:pos="0"/>
        </w:tabs>
        <w:spacing w:before="120" w:after="120" w:line="240" w:lineRule="auto"/>
        <w:ind w:left="1134" w:hanging="567"/>
      </w:pPr>
      <w:r>
        <w:rPr>
          <w:rFonts w:ascii="Arial" w:eastAsia="Arial" w:hAnsi="Arial" w:cs="Arial"/>
          <w:color w:val="000000"/>
          <w:sz w:val="24"/>
          <w:szCs w:val="24"/>
        </w:rPr>
        <w:t>In this Contract, unless the context otherwise requires, the following words shall have the following meanings:</w:t>
      </w:r>
    </w:p>
    <w:tbl>
      <w:tblPr>
        <w:tblStyle w:val="a"/>
        <w:tblW w:w="8079" w:type="dxa"/>
        <w:tblInd w:w="878" w:type="dxa"/>
        <w:tblLayout w:type="fixed"/>
        <w:tblLook w:val="0000" w:firstRow="0" w:lastRow="0" w:firstColumn="0" w:lastColumn="0" w:noHBand="0" w:noVBand="0"/>
      </w:tblPr>
      <w:tblGrid>
        <w:gridCol w:w="2263"/>
        <w:gridCol w:w="5816"/>
      </w:tblGrid>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bookmarkStart w:id="1" w:name="_gjdgxs" w:colFirst="0" w:colLast="0"/>
            <w:bookmarkEnd w:id="1"/>
            <w:r>
              <w:rPr>
                <w:rFonts w:ascii="Arial" w:eastAsia="Arial" w:hAnsi="Arial" w:cs="Arial"/>
                <w:b/>
                <w:color w:val="000000"/>
                <w:sz w:val="24"/>
                <w:szCs w:val="24"/>
              </w:rPr>
              <w:t>"Achieve"</w:t>
            </w:r>
          </w:p>
        </w:tc>
        <w:tc>
          <w:tcPr>
            <w:tcW w:w="5816" w:type="dxa"/>
            <w:shd w:val="clear" w:color="auto" w:fill="auto"/>
          </w:tcPr>
          <w:p w:rsidR="009F6891" w:rsidRDefault="006958CC">
            <w:pPr>
              <w:pBdr>
                <w:top w:val="nil"/>
                <w:left w:val="nil"/>
                <w:bottom w:val="nil"/>
                <w:right w:val="nil"/>
                <w:between w:val="nil"/>
              </w:pBdr>
              <w:spacing w:before="120" w:after="120" w:line="240" w:lineRule="auto"/>
              <w:rPr>
                <w:color w:val="000000"/>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"Additional FDE Group Member"</w:t>
            </w:r>
          </w:p>
        </w:tc>
        <w:tc>
          <w:tcPr>
            <w:tcW w:w="5816" w:type="dxa"/>
            <w:shd w:val="clear" w:color="auto" w:fill="auto"/>
          </w:tcPr>
          <w:p w:rsidR="009F6891" w:rsidRDefault="006958CC">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means any entity (if any) specified as an Additional FDE Group Member in Part A of Annex 3 of Schedule 24 (Financial Difficulties);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"Affected Party"</w:t>
            </w:r>
          </w:p>
        </w:tc>
        <w:tc>
          <w:tcPr>
            <w:tcW w:w="5816" w:type="dxa"/>
            <w:shd w:val="clear" w:color="auto" w:fill="auto"/>
          </w:tcPr>
          <w:p w:rsidR="009F6891" w:rsidRDefault="006958CC">
            <w:p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"Affiliates"</w:t>
            </w:r>
          </w:p>
        </w:tc>
        <w:tc>
          <w:tcPr>
            <w:tcW w:w="5816" w:type="dxa"/>
            <w:shd w:val="clear" w:color="auto" w:fill="auto"/>
          </w:tcPr>
          <w:p w:rsidR="009F6891" w:rsidRDefault="006958CC">
            <w:p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"Allowable Assumptions"</w:t>
            </w:r>
          </w:p>
        </w:tc>
        <w:tc>
          <w:tcPr>
            <w:tcW w:w="5816" w:type="dxa"/>
            <w:shd w:val="clear" w:color="auto" w:fill="auto"/>
          </w:tcPr>
          <w:p w:rsidR="009F6891" w:rsidRDefault="006958CC">
            <w:p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means the assumptions (if any) set out in Annex 2 of Schedule 3 (Charges);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"Annex"</w:t>
            </w:r>
          </w:p>
        </w:tc>
        <w:tc>
          <w:tcPr>
            <w:tcW w:w="5816" w:type="dxa"/>
            <w:shd w:val="clear" w:color="auto" w:fill="auto"/>
          </w:tcPr>
          <w:p w:rsidR="009F6891" w:rsidRDefault="006958CC">
            <w:p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"Approval"</w:t>
            </w:r>
          </w:p>
        </w:tc>
        <w:tc>
          <w:tcPr>
            <w:tcW w:w="5816" w:type="dxa"/>
            <w:shd w:val="clear" w:color="auto" w:fill="auto"/>
          </w:tcPr>
          <w:p w:rsidR="009F6891" w:rsidRDefault="006958CC">
            <w:pPr>
              <w:pBdr>
                <w:top w:val="nil"/>
                <w:left w:val="nil"/>
                <w:bottom w:val="nil"/>
                <w:right w:val="nil"/>
                <w:between w:val="nil"/>
              </w:pBdr>
              <w:tabs>
                <w:tab w:val="left" w:pos="0"/>
              </w:tabs>
              <w:spacing w:before="120" w:after="120" w:line="240" w:lineRule="auto"/>
              <w:ind w:left="179"/>
              <w:rPr>
                <w:color w:val="000000"/>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"Associates"</w:t>
            </w:r>
          </w:p>
        </w:tc>
        <w:tc>
          <w:tcPr>
            <w:tcW w:w="5816" w:type="dxa"/>
            <w:shd w:val="clear" w:color="auto" w:fill="auto"/>
          </w:tcPr>
          <w:p w:rsidR="009F6891" w:rsidRDefault="006958CC">
            <w:pPr>
              <w:pBdr>
                <w:top w:val="nil"/>
                <w:left w:val="nil"/>
                <w:bottom w:val="nil"/>
                <w:right w:val="nil"/>
                <w:between w:val="nil"/>
              </w:pBdr>
              <w:tabs>
                <w:tab w:val="left" w:pos="0"/>
              </w:tabs>
              <w:spacing w:before="120" w:after="120" w:line="240" w:lineRule="auto"/>
              <w:ind w:left="179"/>
              <w:rPr>
                <w:rFonts w:ascii="Arial" w:eastAsia="Arial" w:hAnsi="Arial" w:cs="Arial"/>
                <w:color w:val="000000"/>
                <w:sz w:val="24"/>
                <w:szCs w:val="24"/>
              </w:rPr>
            </w:pPr>
            <w:r>
              <w:rPr>
                <w:rFonts w:ascii="Arial" w:eastAsia="Arial" w:hAnsi="Arial" w:cs="Arial"/>
                <w:color w:val="000000"/>
                <w:sz w:val="24"/>
                <w:szCs w:val="24"/>
              </w:rPr>
              <w:t xml:space="preserve">means, in relation to an entity, an undertaking in which the entity owns, directly or indirectly, </w:t>
            </w:r>
            <w:r>
              <w:rPr>
                <w:rFonts w:ascii="Arial" w:eastAsia="Arial" w:hAnsi="Arial" w:cs="Arial"/>
                <w:color w:val="000000"/>
                <w:sz w:val="24"/>
                <w:szCs w:val="24"/>
              </w:rPr>
              <w:lastRenderedPageBreak/>
              <w:t>between 20% and 50% of the voting rights and exercises a degree of control sufficient for the undertaking to be treated as an associate under generally accepted accounting principles;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"Audit"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Buyer’s right to:</w:t>
            </w:r>
          </w:p>
          <w:p w:rsidR="009F6891" w:rsidRDefault="006958CC">
            <w:pPr>
              <w:numPr>
                <w:ilvl w:val="0"/>
                <w:numId w:val="4"/>
              </w:num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sz w:val="24"/>
                <w:szCs w:val="24"/>
              </w:rPr>
              <w:t>verify the integrity and content of any Financial Report;</w:t>
            </w:r>
          </w:p>
          <w:p w:rsidR="009F6891" w:rsidRDefault="006958CC">
            <w:pPr>
              <w:numPr>
                <w:ilvl w:val="0"/>
                <w:numId w:val="4"/>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 xml:space="preserve">verify the accuracy of the Charges and any other amounts payable by the Buyer under a Contract (including proposed or actual variations to them in accordance with this Contract); </w:t>
            </w:r>
          </w:p>
          <w:p w:rsidR="009F6891" w:rsidRDefault="006958CC">
            <w:pPr>
              <w:numPr>
                <w:ilvl w:val="0"/>
                <w:numId w:val="4"/>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 xml:space="preserve">verify the costs of the Supplier (including the costs of all Subcontractors and 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suppliers) in connection with the provision of the Services;</w:t>
            </w:r>
          </w:p>
          <w:p w:rsidR="009F6891" w:rsidRDefault="006958CC">
            <w:pPr>
              <w:numPr>
                <w:ilvl w:val="0"/>
                <w:numId w:val="4"/>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verify the Open Book Data;</w:t>
            </w:r>
          </w:p>
          <w:p w:rsidR="009F6891" w:rsidRDefault="006958CC">
            <w:pPr>
              <w:numPr>
                <w:ilvl w:val="0"/>
                <w:numId w:val="4"/>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verify the Supplier’s and each Subcontractor’s compliance with the applicable Law;</w:t>
            </w:r>
          </w:p>
          <w:p w:rsidR="009F6891" w:rsidRDefault="006958CC">
            <w:pPr>
              <w:numPr>
                <w:ilvl w:val="0"/>
                <w:numId w:val="4"/>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identify or investigate actual or suspected breach of Clauses 3 to 37 and/or Schedule 26 (Sustainability), impropriety or accounting mistakes or any breach or threatened breach of security and in these circumstances the Buyer shall have no obligation to inform the Supplier of the purpose or objective of its investigations;</w:t>
            </w:r>
          </w:p>
          <w:p w:rsidR="009F6891" w:rsidRDefault="006958CC">
            <w:pPr>
              <w:numPr>
                <w:ilvl w:val="0"/>
                <w:numId w:val="4"/>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9F6891" w:rsidRDefault="006958CC">
            <w:pPr>
              <w:numPr>
                <w:ilvl w:val="0"/>
                <w:numId w:val="4"/>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obtain such information as is necessary to fulfil the Buyer’s obligations to supply information for parliamentary, ministerial, judicial or administrative purposes including the supply of information to the Comptroller and Auditor General;</w:t>
            </w:r>
          </w:p>
          <w:p w:rsidR="009F6891" w:rsidRDefault="006958CC">
            <w:pPr>
              <w:numPr>
                <w:ilvl w:val="0"/>
                <w:numId w:val="4"/>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review any books of account and the internal contract management accounts kept by the Supplier in connection with this Contract;</w:t>
            </w:r>
          </w:p>
          <w:p w:rsidR="009F6891" w:rsidRDefault="006958CC">
            <w:pPr>
              <w:numPr>
                <w:ilvl w:val="0"/>
                <w:numId w:val="4"/>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lastRenderedPageBreak/>
              <w:t>carry out the Buyer’s internal and statutory audits and to prepare, examine and/or certify the Buyer's annual and interim reports and accounts;</w:t>
            </w:r>
          </w:p>
          <w:p w:rsidR="009F6891" w:rsidRDefault="006958CC">
            <w:pPr>
              <w:numPr>
                <w:ilvl w:val="0"/>
                <w:numId w:val="4"/>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Buyer has used its resources;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5816" w:type="dxa"/>
            <w:shd w:val="clear" w:color="auto" w:fill="auto"/>
          </w:tcPr>
          <w:p w:rsidR="009F6891" w:rsidRDefault="006958CC">
            <w:pPr>
              <w:numPr>
                <w:ilvl w:val="0"/>
                <w:numId w:val="6"/>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the Buyer’s internal and external auditors;</w:t>
            </w:r>
          </w:p>
          <w:p w:rsidR="009F6891" w:rsidRDefault="006958CC">
            <w:pPr>
              <w:numPr>
                <w:ilvl w:val="0"/>
                <w:numId w:val="6"/>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the Buyer’s statutory or regulatory auditors;</w:t>
            </w:r>
          </w:p>
          <w:p w:rsidR="009F6891" w:rsidRDefault="006958CC">
            <w:pPr>
              <w:numPr>
                <w:ilvl w:val="0"/>
                <w:numId w:val="6"/>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the Comptroller and Auditor General, their staff and/or any appointed representatives of the National Audit Office;</w:t>
            </w:r>
          </w:p>
          <w:p w:rsidR="009F6891" w:rsidRDefault="006958CC">
            <w:pPr>
              <w:numPr>
                <w:ilvl w:val="0"/>
                <w:numId w:val="6"/>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HM Treasury or the Cabinet Office;</w:t>
            </w:r>
          </w:p>
          <w:p w:rsidR="009F6891" w:rsidRDefault="006958CC">
            <w:pPr>
              <w:numPr>
                <w:ilvl w:val="0"/>
                <w:numId w:val="6"/>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any party formally appointed by the Buyer to carry out audit or similar review functions; and</w:t>
            </w:r>
          </w:p>
          <w:p w:rsidR="009F6891" w:rsidRDefault="006958CC">
            <w:pPr>
              <w:numPr>
                <w:ilvl w:val="0"/>
                <w:numId w:val="6"/>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successors or assigns of any of the above;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"Award Form"</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document outlining the Incorporated Terms and crucial information required for this Contract, to be executed by the Supplier and the Buyer;</w:t>
            </w:r>
          </w:p>
        </w:tc>
      </w:tr>
      <w:tr w:rsidR="009F6891">
        <w:tc>
          <w:tcPr>
            <w:tcW w:w="2263" w:type="dxa"/>
            <w:shd w:val="clear" w:color="auto" w:fill="auto"/>
          </w:tcPr>
          <w:p w:rsidR="009F6891" w:rsidRDefault="006958CC">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"Beneficiary"</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"Buyer"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public sector purchaser identified as such in the Order Form;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7"/>
              <w:rPr>
                <w:rFonts w:ascii="Arial" w:eastAsia="Arial" w:hAnsi="Arial" w:cs="Arial"/>
                <w:b/>
                <w:color w:val="000000"/>
                <w:sz w:val="24"/>
                <w:szCs w:val="24"/>
              </w:rPr>
            </w:pPr>
            <w:r>
              <w:rPr>
                <w:rFonts w:ascii="Arial" w:eastAsia="Arial" w:hAnsi="Arial" w:cs="Arial"/>
                <w:b/>
                <w:color w:val="000000"/>
                <w:sz w:val="24"/>
                <w:szCs w:val="24"/>
              </w:rPr>
              <w:t>"Buyer Assets"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this Contract initially identified in the Award Form;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"Buyer Cause"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"Buyer Existing IPR"</w:t>
            </w:r>
          </w:p>
        </w:tc>
        <w:tc>
          <w:tcPr>
            <w:tcW w:w="5816" w:type="dxa"/>
            <w:shd w:val="clear" w:color="auto" w:fill="auto"/>
          </w:tcPr>
          <w:p w:rsidR="009F6891" w:rsidRDefault="006958CC">
            <w:pPr>
              <w:keepNext/>
              <w:pBdr>
                <w:top w:val="nil"/>
                <w:left w:val="nil"/>
                <w:bottom w:val="nil"/>
                <w:right w:val="nil"/>
                <w:between w:val="nil"/>
              </w:pBdr>
              <w:tabs>
                <w:tab w:val="left" w:pos="-179"/>
              </w:tabs>
              <w:spacing w:before="120" w:after="120" w:line="240" w:lineRule="auto"/>
              <w:ind w:left="170"/>
              <w:rPr>
                <w:color w:val="000000"/>
              </w:rPr>
            </w:pPr>
            <w:r>
              <w:rPr>
                <w:rFonts w:ascii="Arial" w:eastAsia="Arial" w:hAnsi="Arial" w:cs="Arial"/>
                <w:color w:val="000000"/>
                <w:sz w:val="24"/>
                <w:szCs w:val="24"/>
              </w:rPr>
              <w:t xml:space="preserve">means any and all IPR that are owned by or licensed to the Buyer, and where the Buyer is a </w:t>
            </w:r>
            <w:r>
              <w:rPr>
                <w:rFonts w:ascii="Arial" w:eastAsia="Arial" w:hAnsi="Arial" w:cs="Arial"/>
                <w:color w:val="000000"/>
                <w:sz w:val="24"/>
                <w:szCs w:val="24"/>
              </w:rPr>
              <w:lastRenderedPageBreak/>
              <w:t>Crown Body, any Crown IPR, and which are or have been developed independently of this Contract (whether prior to the Effective Date or otherwise) but excluding Buyer Software;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"Buyer Premises"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"Buyer Property"</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“Buyer Software”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"Buyer System"</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"Buyer Third Party"</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means any supplier to the Buyer (other than the Supplier), which is notified to the Supplier from time to time;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"Buyer's Confidential Information"</w:t>
            </w:r>
          </w:p>
        </w:tc>
        <w:tc>
          <w:tcPr>
            <w:tcW w:w="5816" w:type="dxa"/>
            <w:shd w:val="clear" w:color="auto" w:fill="auto"/>
          </w:tcPr>
          <w:p w:rsidR="009F6891" w:rsidRDefault="006958CC">
            <w:pPr>
              <w:numPr>
                <w:ilvl w:val="0"/>
                <w:numId w:val="9"/>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Buyer (including all Buyer Existing IPR and New IPR); </w:t>
            </w:r>
          </w:p>
          <w:p w:rsidR="009F6891" w:rsidRDefault="006958CC">
            <w:pPr>
              <w:numPr>
                <w:ilvl w:val="0"/>
                <w:numId w:val="9"/>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 xml:space="preserve">any other information clearly designated as being confidential (whether or not it is marked "confidential") or which ought reasonably </w:t>
            </w: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considered confidential which comes (or has come) to the Buyer’s attention or into the Buyer’s possession in connection with this Contract; and</w:t>
            </w:r>
          </w:p>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"Change in Law"</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color w:val="000000"/>
              </w:rPr>
            </w:pPr>
            <w:r>
              <w:rPr>
                <w:rFonts w:ascii="Arial" w:eastAsia="Arial" w:hAnsi="Arial" w:cs="Arial"/>
                <w:color w:val="000000"/>
                <w:sz w:val="24"/>
                <w:szCs w:val="24"/>
              </w:rPr>
              <w:t>any change in Law which impacts on the supply of the Deliverables and performance of this Contract which comes into force after the Effective Date;</w:t>
            </w:r>
            <w:r>
              <w:rPr>
                <w:rFonts w:ascii="Arial" w:eastAsia="Arial" w:hAnsi="Arial" w:cs="Arial"/>
                <w:b/>
                <w:color w:val="000000"/>
                <w:sz w:val="24"/>
                <w:szCs w:val="24"/>
              </w:rPr>
              <w:t xml:space="preserve">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"Charges"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this Contract, as set out in the Award Form, for the full and proper performance by the Supplier of its obligations under this Contract less any Deductions;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"Claim"</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Confidential Information listed in Schedule 5 (Commercially Sensitive Information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color w:val="000000"/>
              </w:rPr>
            </w:pPr>
            <w:r>
              <w:rPr>
                <w:rFonts w:ascii="Arial" w:eastAsia="Arial" w:hAnsi="Arial" w:cs="Arial"/>
                <w:color w:val="000000"/>
                <w:sz w:val="24"/>
                <w:szCs w:val="24"/>
              </w:rPr>
              <w:t>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9F6891">
        <w:tc>
          <w:tcPr>
            <w:tcW w:w="2263" w:type="dxa"/>
            <w:shd w:val="clear" w:color="auto" w:fill="auto"/>
          </w:tcPr>
          <w:p w:rsidR="009F6891" w:rsidRDefault="006958CC">
            <w:pPr>
              <w:keepNext/>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the Buyer under this Contract, in the reasonable opinion of the Buyer;</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"Contract"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contract between the Buyer and the Supplier, which consists of the terms set out and referred to in the Award Form;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"Contract Period"</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term of this Contract from the earlier of the:</w:t>
            </w:r>
          </w:p>
          <w:p w:rsidR="009F6891" w:rsidRDefault="006958CC">
            <w:pPr>
              <w:numPr>
                <w:ilvl w:val="0"/>
                <w:numId w:val="11"/>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Start Date; or</w:t>
            </w:r>
          </w:p>
          <w:p w:rsidR="009F6891" w:rsidRDefault="006958CC">
            <w:pPr>
              <w:numPr>
                <w:ilvl w:val="0"/>
                <w:numId w:val="11"/>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the Effective Date,</w:t>
            </w:r>
          </w:p>
          <w:p w:rsidR="009F6891" w:rsidRDefault="006958CC">
            <w:pPr>
              <w:pBdr>
                <w:top w:val="nil"/>
                <w:left w:val="nil"/>
                <w:bottom w:val="nil"/>
                <w:right w:val="nil"/>
                <w:between w:val="nil"/>
              </w:pBdr>
              <w:tabs>
                <w:tab w:val="left" w:pos="169"/>
              </w:tabs>
              <w:spacing w:before="120" w:after="120" w:line="240" w:lineRule="auto"/>
              <w:ind w:firstLine="169"/>
              <w:rPr>
                <w:rFonts w:ascii="Arial" w:eastAsia="Arial" w:hAnsi="Arial" w:cs="Arial"/>
                <w:color w:val="000000"/>
                <w:sz w:val="24"/>
                <w:szCs w:val="24"/>
              </w:rPr>
            </w:pPr>
            <w:r>
              <w:rPr>
                <w:rFonts w:ascii="Arial" w:eastAsia="Arial" w:hAnsi="Arial" w:cs="Arial"/>
                <w:color w:val="000000"/>
                <w:sz w:val="24"/>
                <w:szCs w:val="24"/>
              </w:rPr>
              <w:t>until the End Date;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"Contract Value"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this Contract where all obligations are met by the Supplier;</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"Contract Year"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Effective Date or each anniversary thereof;</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"Control"</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color w:val="000000"/>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"Controller"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"Core Terms"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color w:val="000000"/>
              </w:rPr>
            </w:pPr>
            <w:r>
              <w:rPr>
                <w:rFonts w:ascii="Arial" w:eastAsia="Arial" w:hAnsi="Arial" w:cs="Arial"/>
                <w:color w:val="000000"/>
                <w:sz w:val="24"/>
                <w:szCs w:val="24"/>
              </w:rPr>
              <w:t>the Buyer’s terms and conditions which apply to and comprise one part of this Contract set out in the document called "</w:t>
            </w:r>
            <w:r>
              <w:rPr>
                <w:rFonts w:ascii="Arial" w:eastAsia="Arial" w:hAnsi="Arial" w:cs="Arial"/>
                <w:b/>
                <w:color w:val="000000"/>
                <w:sz w:val="24"/>
                <w:szCs w:val="24"/>
              </w:rPr>
              <w:t>Core Terms</w:t>
            </w:r>
            <w:r>
              <w:rPr>
                <w:rFonts w:ascii="Arial" w:eastAsia="Arial" w:hAnsi="Arial" w:cs="Arial"/>
                <w:color w:val="000000"/>
                <w:sz w:val="24"/>
                <w:szCs w:val="24"/>
              </w:rPr>
              <w: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"Costs"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9F6891" w:rsidRDefault="006958CC">
            <w:pPr>
              <w:numPr>
                <w:ilvl w:val="0"/>
                <w:numId w:val="13"/>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bookmarkStart w:id="2" w:name="_30j0zll" w:colFirst="0" w:colLast="0"/>
            <w:bookmarkEnd w:id="2"/>
            <w:r>
              <w:rPr>
                <w:rFonts w:ascii="Arial" w:eastAsia="Arial" w:hAnsi="Arial" w:cs="Arial"/>
                <w:color w:val="000000"/>
                <w:sz w:val="24"/>
                <w:szCs w:val="24"/>
              </w:rPr>
              <w:t>the cost to the Supplier or the Key Subcontractor (as the context requires), calculated per Work Day, of engaging the Supplier Staff, including:</w:t>
            </w:r>
          </w:p>
          <w:p w:rsidR="009F6891" w:rsidRDefault="006958CC">
            <w:pPr>
              <w:numPr>
                <w:ilvl w:val="4"/>
                <w:numId w:val="15"/>
              </w:numPr>
              <w:pBdr>
                <w:top w:val="nil"/>
                <w:left w:val="nil"/>
                <w:bottom w:val="nil"/>
                <w:right w:val="nil"/>
                <w:between w:val="nil"/>
              </w:pBdr>
              <w:tabs>
                <w:tab w:val="left" w:pos="-240"/>
                <w:tab w:val="left" w:pos="0"/>
                <w:tab w:val="left" w:pos="284"/>
                <w:tab w:val="left" w:pos="1107"/>
                <w:tab w:val="left" w:pos="1674"/>
              </w:tabs>
              <w:spacing w:before="120" w:after="120" w:line="240" w:lineRule="auto"/>
              <w:ind w:left="1728" w:hanging="708"/>
            </w:pPr>
            <w:r>
              <w:rPr>
                <w:rFonts w:ascii="Arial" w:eastAsia="Arial" w:hAnsi="Arial" w:cs="Arial"/>
                <w:color w:val="000000"/>
                <w:sz w:val="24"/>
                <w:szCs w:val="24"/>
              </w:rPr>
              <w:t>base salary paid to the Supplier Staff;</w:t>
            </w:r>
          </w:p>
          <w:p w:rsidR="009F6891" w:rsidRDefault="006958CC">
            <w:pPr>
              <w:numPr>
                <w:ilvl w:val="4"/>
                <w:numId w:val="15"/>
              </w:numPr>
              <w:pBdr>
                <w:top w:val="nil"/>
                <w:left w:val="nil"/>
                <w:bottom w:val="nil"/>
                <w:right w:val="nil"/>
                <w:between w:val="nil"/>
              </w:pBdr>
              <w:tabs>
                <w:tab w:val="left" w:pos="-240"/>
                <w:tab w:val="left" w:pos="0"/>
                <w:tab w:val="left" w:pos="1107"/>
                <w:tab w:val="left" w:pos="1674"/>
              </w:tabs>
              <w:spacing w:before="120" w:after="120" w:line="240" w:lineRule="auto"/>
              <w:ind w:left="1728" w:hanging="708"/>
            </w:pPr>
            <w:r>
              <w:rPr>
                <w:rFonts w:ascii="Arial" w:eastAsia="Arial" w:hAnsi="Arial" w:cs="Arial"/>
                <w:color w:val="000000"/>
                <w:sz w:val="24"/>
                <w:szCs w:val="24"/>
              </w:rPr>
              <w:t>employer’s National Insurance contributions;</w:t>
            </w:r>
          </w:p>
          <w:p w:rsidR="009F6891" w:rsidRDefault="006958CC">
            <w:pPr>
              <w:numPr>
                <w:ilvl w:val="4"/>
                <w:numId w:val="15"/>
              </w:numPr>
              <w:pBdr>
                <w:top w:val="nil"/>
                <w:left w:val="nil"/>
                <w:bottom w:val="nil"/>
                <w:right w:val="nil"/>
                <w:between w:val="nil"/>
              </w:pBdr>
              <w:tabs>
                <w:tab w:val="left" w:pos="-240"/>
                <w:tab w:val="left" w:pos="0"/>
                <w:tab w:val="left" w:pos="1107"/>
                <w:tab w:val="left" w:pos="1674"/>
              </w:tabs>
              <w:spacing w:before="120" w:after="120" w:line="240" w:lineRule="auto"/>
              <w:ind w:left="1728" w:hanging="708"/>
              <w:rPr>
                <w:rFonts w:ascii="Arial" w:eastAsia="Arial" w:hAnsi="Arial" w:cs="Arial"/>
              </w:rPr>
            </w:pPr>
            <w:r>
              <w:rPr>
                <w:rFonts w:ascii="Arial" w:eastAsia="Arial" w:hAnsi="Arial" w:cs="Arial"/>
                <w:color w:val="000000"/>
                <w:sz w:val="24"/>
                <w:szCs w:val="24"/>
              </w:rPr>
              <w:t>pension contributions;</w:t>
            </w:r>
          </w:p>
          <w:p w:rsidR="009F6891" w:rsidRDefault="006958CC">
            <w:pPr>
              <w:numPr>
                <w:ilvl w:val="4"/>
                <w:numId w:val="15"/>
              </w:numPr>
              <w:pBdr>
                <w:top w:val="nil"/>
                <w:left w:val="nil"/>
                <w:bottom w:val="nil"/>
                <w:right w:val="nil"/>
                <w:between w:val="nil"/>
              </w:pBdr>
              <w:tabs>
                <w:tab w:val="left" w:pos="-240"/>
                <w:tab w:val="left" w:pos="0"/>
                <w:tab w:val="left" w:pos="1107"/>
                <w:tab w:val="left" w:pos="1674"/>
              </w:tabs>
              <w:spacing w:before="120" w:after="120" w:line="240" w:lineRule="auto"/>
              <w:ind w:left="1728" w:hanging="708"/>
              <w:rPr>
                <w:rFonts w:ascii="Arial" w:eastAsia="Arial" w:hAnsi="Arial" w:cs="Arial"/>
              </w:rPr>
            </w:pPr>
            <w:r>
              <w:rPr>
                <w:rFonts w:ascii="Arial" w:eastAsia="Arial" w:hAnsi="Arial" w:cs="Arial"/>
                <w:color w:val="000000"/>
                <w:sz w:val="24"/>
                <w:szCs w:val="24"/>
              </w:rPr>
              <w:t xml:space="preserve">car allowances; </w:t>
            </w:r>
          </w:p>
          <w:p w:rsidR="009F6891" w:rsidRDefault="006958CC">
            <w:pPr>
              <w:numPr>
                <w:ilvl w:val="4"/>
                <w:numId w:val="15"/>
              </w:numPr>
              <w:pBdr>
                <w:top w:val="nil"/>
                <w:left w:val="nil"/>
                <w:bottom w:val="nil"/>
                <w:right w:val="nil"/>
                <w:between w:val="nil"/>
              </w:pBdr>
              <w:tabs>
                <w:tab w:val="left" w:pos="-240"/>
                <w:tab w:val="left" w:pos="0"/>
                <w:tab w:val="left" w:pos="1107"/>
                <w:tab w:val="left" w:pos="1674"/>
              </w:tabs>
              <w:spacing w:before="120" w:after="120" w:line="240" w:lineRule="auto"/>
              <w:ind w:left="1728" w:hanging="708"/>
              <w:rPr>
                <w:rFonts w:ascii="Arial" w:eastAsia="Arial" w:hAnsi="Arial" w:cs="Arial"/>
              </w:rPr>
            </w:pPr>
            <w:r>
              <w:rPr>
                <w:rFonts w:ascii="Arial" w:eastAsia="Arial" w:hAnsi="Arial" w:cs="Arial"/>
                <w:color w:val="000000"/>
                <w:sz w:val="24"/>
                <w:szCs w:val="24"/>
              </w:rPr>
              <w:t>any other contractual employment benefits;</w:t>
            </w:r>
          </w:p>
          <w:p w:rsidR="009F6891" w:rsidRDefault="006958CC">
            <w:pPr>
              <w:numPr>
                <w:ilvl w:val="4"/>
                <w:numId w:val="15"/>
              </w:numPr>
              <w:pBdr>
                <w:top w:val="nil"/>
                <w:left w:val="nil"/>
                <w:bottom w:val="nil"/>
                <w:right w:val="nil"/>
                <w:between w:val="nil"/>
              </w:pBdr>
              <w:tabs>
                <w:tab w:val="left" w:pos="-240"/>
                <w:tab w:val="left" w:pos="0"/>
                <w:tab w:val="left" w:pos="1107"/>
                <w:tab w:val="left" w:pos="1674"/>
              </w:tabs>
              <w:spacing w:before="120" w:after="120" w:line="240" w:lineRule="auto"/>
              <w:ind w:left="1728" w:hanging="708"/>
              <w:rPr>
                <w:rFonts w:ascii="Arial" w:eastAsia="Arial" w:hAnsi="Arial" w:cs="Arial"/>
              </w:rPr>
            </w:pPr>
            <w:r>
              <w:rPr>
                <w:rFonts w:ascii="Arial" w:eastAsia="Arial" w:hAnsi="Arial" w:cs="Arial"/>
                <w:color w:val="000000"/>
                <w:sz w:val="24"/>
                <w:szCs w:val="24"/>
              </w:rPr>
              <w:t>staff training;</w:t>
            </w:r>
          </w:p>
          <w:p w:rsidR="009F6891" w:rsidRDefault="006958CC">
            <w:pPr>
              <w:numPr>
                <w:ilvl w:val="4"/>
                <w:numId w:val="15"/>
              </w:numPr>
              <w:pBdr>
                <w:top w:val="nil"/>
                <w:left w:val="nil"/>
                <w:bottom w:val="nil"/>
                <w:right w:val="nil"/>
                <w:between w:val="nil"/>
              </w:pBdr>
              <w:tabs>
                <w:tab w:val="left" w:pos="-240"/>
                <w:tab w:val="left" w:pos="0"/>
                <w:tab w:val="left" w:pos="1107"/>
                <w:tab w:val="left" w:pos="1674"/>
              </w:tabs>
              <w:spacing w:before="120" w:after="120" w:line="240" w:lineRule="auto"/>
              <w:ind w:left="1728" w:hanging="708"/>
              <w:rPr>
                <w:rFonts w:ascii="Arial" w:eastAsia="Arial" w:hAnsi="Arial" w:cs="Arial"/>
              </w:rPr>
            </w:pPr>
            <w:r>
              <w:rPr>
                <w:rFonts w:ascii="Arial" w:eastAsia="Arial" w:hAnsi="Arial" w:cs="Arial"/>
                <w:color w:val="000000"/>
                <w:sz w:val="24"/>
                <w:szCs w:val="24"/>
              </w:rPr>
              <w:t>work place accommodation;</w:t>
            </w:r>
          </w:p>
          <w:p w:rsidR="009F6891" w:rsidRDefault="006958CC">
            <w:pPr>
              <w:numPr>
                <w:ilvl w:val="4"/>
                <w:numId w:val="15"/>
              </w:numPr>
              <w:pBdr>
                <w:top w:val="nil"/>
                <w:left w:val="nil"/>
                <w:bottom w:val="nil"/>
                <w:right w:val="nil"/>
                <w:between w:val="nil"/>
              </w:pBdr>
              <w:tabs>
                <w:tab w:val="left" w:pos="-240"/>
                <w:tab w:val="left" w:pos="0"/>
                <w:tab w:val="left" w:pos="1107"/>
                <w:tab w:val="left" w:pos="1674"/>
              </w:tabs>
              <w:spacing w:before="120" w:after="120" w:line="240" w:lineRule="auto"/>
              <w:ind w:left="1728" w:hanging="708"/>
            </w:pPr>
            <w:r>
              <w:rPr>
                <w:rFonts w:ascii="Arial" w:eastAsia="Arial" w:hAnsi="Arial" w:cs="Arial"/>
                <w:color w:val="000000"/>
                <w:sz w:val="24"/>
                <w:szCs w:val="24"/>
              </w:rPr>
              <w:t xml:space="preserve">work place IT equipment and tools reasonably necessary to provide the </w:t>
            </w:r>
            <w:r>
              <w:rPr>
                <w:rFonts w:ascii="Arial" w:eastAsia="Arial" w:hAnsi="Arial" w:cs="Arial"/>
                <w:color w:val="000000"/>
                <w:sz w:val="24"/>
                <w:szCs w:val="24"/>
              </w:rPr>
              <w:lastRenderedPageBreak/>
              <w:t>Deliverables (but not including items included within limb 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 below); and</w:t>
            </w:r>
          </w:p>
          <w:p w:rsidR="009F6891" w:rsidRDefault="006958CC">
            <w:pPr>
              <w:numPr>
                <w:ilvl w:val="4"/>
                <w:numId w:val="15"/>
              </w:numPr>
              <w:pBdr>
                <w:top w:val="nil"/>
                <w:left w:val="nil"/>
                <w:bottom w:val="nil"/>
                <w:right w:val="nil"/>
                <w:between w:val="nil"/>
              </w:pBdr>
              <w:tabs>
                <w:tab w:val="left" w:pos="-240"/>
                <w:tab w:val="left" w:pos="0"/>
                <w:tab w:val="left" w:pos="1107"/>
                <w:tab w:val="left" w:pos="1674"/>
              </w:tabs>
              <w:spacing w:before="120" w:after="120" w:line="240" w:lineRule="auto"/>
              <w:ind w:left="1728" w:hanging="708"/>
              <w:rPr>
                <w:rFonts w:ascii="Arial" w:eastAsia="Arial" w:hAnsi="Arial" w:cs="Arial"/>
              </w:rPr>
            </w:pPr>
            <w:r>
              <w:rPr>
                <w:rFonts w:ascii="Arial" w:eastAsia="Arial" w:hAnsi="Arial" w:cs="Arial"/>
                <w:color w:val="000000"/>
                <w:sz w:val="24"/>
                <w:szCs w:val="24"/>
              </w:rPr>
              <w:t xml:space="preserve">reasonable recruitment costs, as agreed with the Buyer; </w:t>
            </w:r>
          </w:p>
          <w:p w:rsidR="009F6891" w:rsidRDefault="006958CC">
            <w:pPr>
              <w:numPr>
                <w:ilvl w:val="0"/>
                <w:numId w:val="13"/>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bookmarkStart w:id="3" w:name="_1fob9te" w:colFirst="0" w:colLast="0"/>
            <w:bookmarkEnd w:id="3"/>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9F6891" w:rsidRDefault="006958CC">
            <w:pPr>
              <w:numPr>
                <w:ilvl w:val="0"/>
                <w:numId w:val="13"/>
              </w:numPr>
              <w:pBdr>
                <w:top w:val="nil"/>
                <w:left w:val="nil"/>
                <w:bottom w:val="nil"/>
                <w:right w:val="nil"/>
                <w:between w:val="nil"/>
              </w:pBdr>
              <w:tabs>
                <w:tab w:val="left" w:pos="-973"/>
                <w:tab w:val="left" w:pos="0"/>
              </w:tabs>
              <w:spacing w:before="120" w:after="120" w:line="240" w:lineRule="auto"/>
              <w:rPr>
                <w:color w:val="000000"/>
              </w:rPr>
            </w:pPr>
            <w:r>
              <w:rPr>
                <w:rFonts w:ascii="Arial" w:eastAsia="Arial" w:hAnsi="Arial" w:cs="Arial"/>
                <w:color w:val="000000"/>
                <w:sz w:val="24"/>
                <w:szCs w:val="24"/>
              </w:rPr>
              <w:t>operational costs which are not included within the cost to the Supplier or the Key Subcontractor (as the context requires), calculated per Work Day, of engaging the Supplier Staff, including: or 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 above, to the extent that such costs are necessary and properly incurred by the Supplier in the provision of the Deliverables; and</w:t>
            </w:r>
          </w:p>
          <w:p w:rsidR="009F6891" w:rsidRDefault="006958CC">
            <w:pPr>
              <w:numPr>
                <w:ilvl w:val="0"/>
                <w:numId w:val="13"/>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lastRenderedPageBreak/>
              <w:t>Reimbursable Expenses to the extent these have been specified as allowable in the Award Form and are incurred in delivering any Deliverables;</w:t>
            </w:r>
          </w:p>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but excluding:</w:t>
            </w:r>
          </w:p>
          <w:p w:rsidR="009F6891" w:rsidRDefault="006958CC">
            <w:pPr>
              <w:numPr>
                <w:ilvl w:val="0"/>
                <w:numId w:val="37"/>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Overhead;</w:t>
            </w:r>
          </w:p>
          <w:p w:rsidR="009F6891" w:rsidRDefault="006958CC">
            <w:pPr>
              <w:numPr>
                <w:ilvl w:val="0"/>
                <w:numId w:val="37"/>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financing or similar costs;</w:t>
            </w:r>
          </w:p>
          <w:p w:rsidR="009F6891" w:rsidRDefault="006958CC">
            <w:pPr>
              <w:numPr>
                <w:ilvl w:val="0"/>
                <w:numId w:val="37"/>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maintenance and support costs to the extent that these relate to maintenance and/or support Deliverables provided beyond the Contract Period whether in relation to Supplier Assets or otherwise;</w:t>
            </w:r>
          </w:p>
          <w:p w:rsidR="009F6891" w:rsidRDefault="006958CC">
            <w:pPr>
              <w:numPr>
                <w:ilvl w:val="0"/>
                <w:numId w:val="37"/>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taxation;</w:t>
            </w:r>
          </w:p>
          <w:p w:rsidR="009F6891" w:rsidRDefault="006958CC">
            <w:pPr>
              <w:numPr>
                <w:ilvl w:val="0"/>
                <w:numId w:val="37"/>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fines and penalties;</w:t>
            </w:r>
          </w:p>
          <w:p w:rsidR="009F6891" w:rsidRDefault="006958CC">
            <w:pPr>
              <w:numPr>
                <w:ilvl w:val="0"/>
                <w:numId w:val="37"/>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amounts payable under Schedule 12 (Benchmarking) where such Schedule is used; and</w:t>
            </w:r>
          </w:p>
          <w:p w:rsidR="009F6891" w:rsidRDefault="006958CC">
            <w:pPr>
              <w:numPr>
                <w:ilvl w:val="0"/>
                <w:numId w:val="37"/>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non-cash items (including depreciation, amortisation, impairments and movements in provisions);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 xml:space="preserve">"COTS Software" </w:t>
            </w:r>
            <w:proofErr w:type="gramStart"/>
            <w:r>
              <w:rPr>
                <w:rFonts w:ascii="Arial" w:eastAsia="Arial" w:hAnsi="Arial" w:cs="Arial"/>
                <w:b/>
                <w:color w:val="000000"/>
                <w:sz w:val="24"/>
                <w:szCs w:val="24"/>
              </w:rPr>
              <w:t>or  "</w:t>
            </w:r>
            <w:proofErr w:type="gramEnd"/>
            <w:r>
              <w:rPr>
                <w:rFonts w:ascii="Arial" w:eastAsia="Arial" w:hAnsi="Arial" w:cs="Arial"/>
                <w:b/>
                <w:color w:val="000000"/>
                <w:sz w:val="24"/>
                <w:szCs w:val="24"/>
              </w:rPr>
              <w:t>Commercial off the shelf Software"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"Crown Body"</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"Crown IPR"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means any IPR which is owned by or licensed to the Crown, and which are or have been developed independently of this Contract (whether prior to the Effective Date or otherwise);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"CRTPA"</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"Data Loss Event"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color w:val="000000"/>
              </w:rPr>
            </w:pPr>
            <w:r>
              <w:rPr>
                <w:rFonts w:ascii="Arial" w:eastAsia="Arial" w:hAnsi="Arial" w:cs="Arial"/>
                <w:color w:val="000000"/>
                <w:sz w:val="24"/>
                <w:szCs w:val="24"/>
              </w:rPr>
              <w:t>any event that results, or may result, in unauthorised access to Personal Data held by the Processor under this Contract, and/or actual or potential loss and/or destruction of Personal Data in breach of this Agreement, including any Personal Data Breach.</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the UK GDPR, (ii) the DPA 2018 to the extent that it relates to processing of personal data and privacy; (iii) all applicable Law about the processing of personal data and privacy; and (iv) (to the extent that it applies) the EU GDPR;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"Data Subject"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"Deductions"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"Default"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this Contract in breach of its terms) or any other default (including Material Default), act, omission, negligence or statement of the Supplier, of its Subcontractors or any Supplier Staff howsoever arising in connection with or in relation to the subject-matter of this Contract and in respect of which the Supplier is liable to the Buyer;</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"Defect"</w:t>
            </w:r>
          </w:p>
        </w:tc>
        <w:tc>
          <w:tcPr>
            <w:tcW w:w="5816" w:type="dxa"/>
            <w:shd w:val="clear" w:color="auto" w:fill="auto"/>
          </w:tcPr>
          <w:p w:rsidR="009F6891" w:rsidRDefault="006958CC">
            <w:pPr>
              <w:pBdr>
                <w:top w:val="nil"/>
                <w:left w:val="nil"/>
                <w:bottom w:val="nil"/>
                <w:right w:val="nil"/>
                <w:between w:val="nil"/>
              </w:pBdr>
              <w:tabs>
                <w:tab w:val="left" w:pos="-973"/>
              </w:tabs>
              <w:spacing w:before="120" w:after="120" w:line="240" w:lineRule="auto"/>
              <w:ind w:left="964"/>
              <w:rPr>
                <w:rFonts w:ascii="Arial" w:eastAsia="Arial" w:hAnsi="Arial" w:cs="Arial"/>
                <w:color w:val="000000"/>
                <w:sz w:val="24"/>
                <w:szCs w:val="24"/>
              </w:rPr>
            </w:pPr>
            <w:r>
              <w:rPr>
                <w:rFonts w:ascii="Arial" w:eastAsia="Arial" w:hAnsi="Arial" w:cs="Arial"/>
                <w:color w:val="000000"/>
                <w:sz w:val="24"/>
                <w:szCs w:val="24"/>
              </w:rPr>
              <w:t>any of the following:</w:t>
            </w:r>
          </w:p>
          <w:p w:rsidR="009F6891" w:rsidRDefault="006958CC">
            <w:pPr>
              <w:numPr>
                <w:ilvl w:val="0"/>
                <w:numId w:val="39"/>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 xml:space="preserve">any error, damage or defect in the manufacturing of a Deliverable; or </w:t>
            </w:r>
          </w:p>
          <w:p w:rsidR="009F6891" w:rsidRDefault="006958CC">
            <w:pPr>
              <w:numPr>
                <w:ilvl w:val="0"/>
                <w:numId w:val="39"/>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lastRenderedPageBreak/>
              <w:t xml:space="preserve">any error or failure of code within the Software which causes a Deliverable to malfunction or to produce unintelligible or incorrect results; or </w:t>
            </w:r>
          </w:p>
          <w:p w:rsidR="009F6891" w:rsidRDefault="006958CC">
            <w:pPr>
              <w:numPr>
                <w:ilvl w:val="0"/>
                <w:numId w:val="39"/>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tc>
      </w:tr>
      <w:tr w:rsidR="009F6891">
        <w:tc>
          <w:tcPr>
            <w:tcW w:w="2263" w:type="dxa"/>
            <w:shd w:val="clear" w:color="auto" w:fill="auto"/>
          </w:tcPr>
          <w:p w:rsidR="009F6891" w:rsidRDefault="009F6891">
            <w:pPr>
              <w:pBdr>
                <w:top w:val="nil"/>
                <w:left w:val="nil"/>
                <w:bottom w:val="nil"/>
                <w:right w:val="nil"/>
                <w:between w:val="nil"/>
              </w:pBdr>
              <w:spacing w:before="120" w:after="120" w:line="240" w:lineRule="auto"/>
              <w:ind w:left="56"/>
              <w:rPr>
                <w:rFonts w:ascii="Arial" w:eastAsia="Arial" w:hAnsi="Arial" w:cs="Arial"/>
                <w:b/>
                <w:color w:val="000000"/>
                <w:sz w:val="24"/>
                <w:szCs w:val="24"/>
              </w:rPr>
            </w:pPr>
          </w:p>
        </w:tc>
        <w:tc>
          <w:tcPr>
            <w:tcW w:w="5816" w:type="dxa"/>
            <w:shd w:val="clear" w:color="auto" w:fill="auto"/>
          </w:tcPr>
          <w:p w:rsidR="009F6891" w:rsidRDefault="006958CC">
            <w:pPr>
              <w:numPr>
                <w:ilvl w:val="0"/>
                <w:numId w:val="39"/>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"Delay Payments"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"Deliverables"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Goods, Services or software that may be ordered and/or developed under this Contract including the Documentation;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"Delivery"</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color w:val="000000"/>
              </w:rPr>
            </w:pPr>
            <w:r>
              <w:rPr>
                <w:rFonts w:ascii="Arial" w:eastAsia="Arial" w:hAnsi="Arial" w:cs="Arial"/>
                <w:color w:val="000000"/>
                <w:sz w:val="24"/>
                <w:szCs w:val="24"/>
              </w:rPr>
              <w:t>delivery of the relevant Deliverable or Milestone in accordance with the terms of this Contract as confirmed and accepted by the Buyer by the either (a) confirmation in writing to the Supplier; or (b) where Schedule 8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"Dependent Parent Undertaking"</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w:t>
            </w:r>
            <w:r>
              <w:rPr>
                <w:rFonts w:ascii="Arial" w:eastAsia="Arial" w:hAnsi="Arial" w:cs="Arial"/>
                <w:color w:val="000000"/>
                <w:sz w:val="24"/>
                <w:szCs w:val="24"/>
              </w:rPr>
              <w:lastRenderedPageBreak/>
              <w:t>this Contract, including for the avoidance of doubt the provision of the Services in accordance with the terms of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"Disaster"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"Disclosing Party"</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19 (What you must keep confidential);</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7"/>
              <w:rPr>
                <w:rFonts w:ascii="Arial" w:eastAsia="Arial" w:hAnsi="Arial" w:cs="Arial"/>
                <w:b/>
                <w:color w:val="000000"/>
                <w:sz w:val="24"/>
                <w:szCs w:val="24"/>
              </w:rPr>
            </w:pPr>
            <w:r>
              <w:rPr>
                <w:rFonts w:ascii="Arial" w:eastAsia="Arial" w:hAnsi="Arial" w:cs="Arial"/>
                <w:b/>
                <w:color w:val="000000"/>
                <w:sz w:val="24"/>
                <w:szCs w:val="24"/>
              </w:rPr>
              <w:t>"Dispute"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this Contract or in connection with the negotiation, existence, legal validity, enforceability or termination of this Contract, whether the alleged liability shall arise under English law or under the law of some other country and regardless of whether a particular cause of action may successfully be brought in the English courts;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dispute resolution procedure set out in Clause 39 (Resolving disputes);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"Documentation"</w:t>
            </w:r>
          </w:p>
        </w:tc>
        <w:tc>
          <w:tcPr>
            <w:tcW w:w="5816" w:type="dxa"/>
            <w:shd w:val="clear" w:color="auto" w:fill="auto"/>
          </w:tcPr>
          <w:p w:rsidR="009F6891" w:rsidRDefault="006958CC">
            <w:pPr>
              <w:pBdr>
                <w:top w:val="nil"/>
                <w:left w:val="nil"/>
                <w:bottom w:val="nil"/>
                <w:right w:val="nil"/>
                <w:between w:val="nil"/>
              </w:pBdr>
              <w:tabs>
                <w:tab w:val="left" w:pos="-751"/>
                <w:tab w:val="left" w:pos="-31"/>
              </w:tabs>
              <w:spacing w:before="120" w:after="120" w:line="240" w:lineRule="auto"/>
              <w:ind w:left="175"/>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this Contract as:</w:t>
            </w:r>
          </w:p>
          <w:p w:rsidR="009F6891" w:rsidRDefault="006958CC">
            <w:pPr>
              <w:numPr>
                <w:ilvl w:val="0"/>
                <w:numId w:val="41"/>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9F6891" w:rsidRDefault="006958CC">
            <w:pPr>
              <w:numPr>
                <w:ilvl w:val="0"/>
                <w:numId w:val="41"/>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is required by the Supplier in order to provide the Deliverables; and/or</w:t>
            </w:r>
          </w:p>
          <w:p w:rsidR="009F6891" w:rsidRDefault="006958CC">
            <w:pPr>
              <w:numPr>
                <w:ilvl w:val="0"/>
                <w:numId w:val="41"/>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has been or shall be generated for the purpose of providing the Deliverables;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5816" w:type="dxa"/>
            <w:shd w:val="clear" w:color="auto" w:fill="auto"/>
          </w:tcPr>
          <w:p w:rsidR="009F6891" w:rsidRDefault="006958CC">
            <w:pPr>
              <w:pBdr>
                <w:top w:val="nil"/>
                <w:left w:val="nil"/>
                <w:bottom w:val="nil"/>
                <w:right w:val="nil"/>
                <w:between w:val="nil"/>
              </w:pBdr>
              <w:tabs>
                <w:tab w:val="left" w:pos="-751"/>
                <w:tab w:val="left" w:pos="-31"/>
              </w:tabs>
              <w:spacing w:before="120" w:after="120" w:line="240" w:lineRule="auto"/>
              <w:ind w:left="175"/>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"DPA 2018"</w:t>
            </w:r>
          </w:p>
        </w:tc>
        <w:tc>
          <w:tcPr>
            <w:tcW w:w="5816" w:type="dxa"/>
            <w:shd w:val="clear" w:color="auto" w:fill="auto"/>
          </w:tcPr>
          <w:p w:rsidR="009F6891" w:rsidRDefault="006958CC">
            <w:pPr>
              <w:pBdr>
                <w:top w:val="nil"/>
                <w:left w:val="nil"/>
                <w:bottom w:val="nil"/>
                <w:right w:val="nil"/>
                <w:between w:val="nil"/>
              </w:pBdr>
              <w:tabs>
                <w:tab w:val="left" w:pos="-751"/>
                <w:tab w:val="left" w:pos="-31"/>
              </w:tabs>
              <w:spacing w:before="120" w:after="120" w:line="240" w:lineRule="auto"/>
              <w:ind w:left="175"/>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5816" w:type="dxa"/>
            <w:shd w:val="clear" w:color="auto" w:fill="auto"/>
          </w:tcPr>
          <w:p w:rsidR="009F6891" w:rsidRDefault="006958CC">
            <w:pPr>
              <w:pBdr>
                <w:top w:val="nil"/>
                <w:left w:val="nil"/>
                <w:bottom w:val="nil"/>
                <w:right w:val="nil"/>
                <w:between w:val="nil"/>
              </w:pBdr>
              <w:tabs>
                <w:tab w:val="left" w:pos="-751"/>
                <w:tab w:val="left" w:pos="-31"/>
              </w:tabs>
              <w:spacing w:before="120" w:after="120" w:line="240" w:lineRule="auto"/>
              <w:ind w:left="175"/>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Buyer prior to the Effective Date;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"Effective Date"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date on which the final Party has signed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"EIR"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5816" w:type="dxa"/>
            <w:shd w:val="clear" w:color="auto" w:fill="auto"/>
          </w:tcPr>
          <w:p w:rsidR="009F6891" w:rsidRDefault="006958CC">
            <w:pPr>
              <w:pBdr>
                <w:top w:val="nil"/>
                <w:left w:val="nil"/>
                <w:bottom w:val="nil"/>
                <w:right w:val="nil"/>
                <w:between w:val="nil"/>
              </w:pBdr>
              <w:tabs>
                <w:tab w:val="left" w:pos="-576"/>
                <w:tab w:val="left" w:pos="144"/>
              </w:tabs>
              <w:spacing w:before="120" w:after="120" w:line="240" w:lineRule="auto"/>
              <w:ind w:firstLine="141"/>
              <w:rPr>
                <w:rFonts w:ascii="Arial" w:eastAsia="Arial" w:hAnsi="Arial" w:cs="Arial"/>
                <w:color w:val="000000"/>
                <w:sz w:val="24"/>
                <w:szCs w:val="24"/>
              </w:rPr>
            </w:pPr>
            <w:r>
              <w:rPr>
                <w:rFonts w:ascii="Arial" w:eastAsia="Arial" w:hAnsi="Arial" w:cs="Arial"/>
                <w:color w:val="000000"/>
                <w:sz w:val="24"/>
                <w:szCs w:val="24"/>
              </w:rPr>
              <w:t xml:space="preserve">the earlier of: </w:t>
            </w:r>
          </w:p>
          <w:p w:rsidR="009F6891" w:rsidRDefault="006958CC">
            <w:pPr>
              <w:numPr>
                <w:ilvl w:val="0"/>
                <w:numId w:val="43"/>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the Expiry Date as extended by the Buyer under Clause 14.2; or</w:t>
            </w:r>
          </w:p>
          <w:p w:rsidR="009F6891" w:rsidRDefault="006958CC">
            <w:pPr>
              <w:numPr>
                <w:ilvl w:val="0"/>
                <w:numId w:val="43"/>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if this Contract is terminated before the date specified in (a) above, the date of termination of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"End User"</w:t>
            </w:r>
          </w:p>
        </w:tc>
        <w:tc>
          <w:tcPr>
            <w:tcW w:w="5816" w:type="dxa"/>
            <w:shd w:val="clear" w:color="auto" w:fill="auto"/>
          </w:tcPr>
          <w:p w:rsidR="009F6891" w:rsidRDefault="006958CC">
            <w:pPr>
              <w:pBdr>
                <w:top w:val="nil"/>
                <w:left w:val="nil"/>
                <w:bottom w:val="nil"/>
                <w:right w:val="nil"/>
                <w:between w:val="nil"/>
              </w:pBdr>
              <w:tabs>
                <w:tab w:val="left" w:pos="-745"/>
                <w:tab w:val="left" w:pos="-25"/>
              </w:tabs>
              <w:spacing w:before="120" w:after="120" w:line="240" w:lineRule="auto"/>
              <w:ind w:left="169"/>
              <w:rPr>
                <w:rFonts w:ascii="Arial" w:eastAsia="Arial" w:hAnsi="Arial" w:cs="Arial"/>
                <w:color w:val="000000"/>
                <w:sz w:val="24"/>
                <w:szCs w:val="24"/>
              </w:rPr>
            </w:pPr>
            <w:r>
              <w:rPr>
                <w:rFonts w:ascii="Arial" w:eastAsia="Arial" w:hAnsi="Arial" w:cs="Arial"/>
                <w:color w:val="000000"/>
                <w:sz w:val="24"/>
                <w:szCs w:val="24"/>
              </w:rPr>
              <w:t>means a party that is accessing the Deliverables provided pursuant to this Contract (including the Buyer where it is accessing services on its own account as a user);</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"Escalation Meeting"</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means a meeting between the Supplier Authorised Representative and the Buyer Authorised Representative to address issues that have arisen during the Rectification Plan Process;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Award Form;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15.1:</w:t>
            </w:r>
          </w:p>
          <w:p w:rsidR="009F6891" w:rsidRDefault="006958CC">
            <w:pPr>
              <w:numPr>
                <w:ilvl w:val="0"/>
                <w:numId w:val="44"/>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 xml:space="preserve">in the first Contract Year, the Estimated Year 1 Charges; or </w:t>
            </w:r>
          </w:p>
          <w:p w:rsidR="009F6891" w:rsidRDefault="006958CC">
            <w:pPr>
              <w:numPr>
                <w:ilvl w:val="0"/>
                <w:numId w:val="44"/>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in any subsequent Contract Years, the Charges paid or payable in the previous Contract Year; or</w:t>
            </w:r>
          </w:p>
          <w:p w:rsidR="009F6891" w:rsidRDefault="006958CC">
            <w:pPr>
              <w:numPr>
                <w:ilvl w:val="0"/>
                <w:numId w:val="44"/>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after the end of this Contract, the Charges paid or payable in the last Contract Year during the Contract Period;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"EU GDPR"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"Existing IPR"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this Contract (whether prior to the Start Date or otherwise);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"Exit Plan"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4.1 of Schedule 30 (Exit Plan);</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"Expiry Date"</w:t>
            </w:r>
          </w:p>
        </w:tc>
        <w:tc>
          <w:tcPr>
            <w:tcW w:w="5816" w:type="dxa"/>
            <w:shd w:val="clear" w:color="auto" w:fill="auto"/>
          </w:tcPr>
          <w:p w:rsidR="009F6891" w:rsidRDefault="006958CC">
            <w:pPr>
              <w:pBdr>
                <w:top w:val="nil"/>
                <w:left w:val="nil"/>
                <w:bottom w:val="nil"/>
                <w:right w:val="nil"/>
                <w:between w:val="nil"/>
              </w:pBdr>
              <w:tabs>
                <w:tab w:val="left" w:pos="-720"/>
                <w:tab w:val="left" w:pos="0"/>
              </w:tabs>
              <w:spacing w:before="120" w:after="120" w:line="240" w:lineRule="auto"/>
              <w:ind w:left="144"/>
              <w:rPr>
                <w:rFonts w:ascii="Arial" w:eastAsia="Arial" w:hAnsi="Arial" w:cs="Arial"/>
                <w:color w:val="000000"/>
                <w:sz w:val="24"/>
                <w:szCs w:val="24"/>
              </w:rPr>
            </w:pPr>
            <w:r>
              <w:rPr>
                <w:rFonts w:ascii="Arial" w:eastAsia="Arial" w:hAnsi="Arial" w:cs="Arial"/>
                <w:color w:val="000000"/>
                <w:sz w:val="24"/>
                <w:szCs w:val="24"/>
              </w:rPr>
              <w:t xml:space="preserve">the date of the end of this Contract as stated in the Award Form;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"Extension Period"</w:t>
            </w:r>
          </w:p>
        </w:tc>
        <w:tc>
          <w:tcPr>
            <w:tcW w:w="5816" w:type="dxa"/>
            <w:shd w:val="clear" w:color="auto" w:fill="auto"/>
          </w:tcPr>
          <w:p w:rsidR="009F6891" w:rsidRDefault="006958CC">
            <w:pPr>
              <w:pBdr>
                <w:top w:val="nil"/>
                <w:left w:val="nil"/>
                <w:bottom w:val="nil"/>
                <w:right w:val="nil"/>
                <w:between w:val="nil"/>
              </w:pBdr>
              <w:tabs>
                <w:tab w:val="left" w:pos="-720"/>
                <w:tab w:val="left" w:pos="0"/>
              </w:tabs>
              <w:spacing w:before="120" w:after="120" w:line="240" w:lineRule="auto"/>
              <w:ind w:left="144"/>
              <w:rPr>
                <w:rFonts w:ascii="Arial" w:eastAsia="Arial" w:hAnsi="Arial" w:cs="Arial"/>
                <w:color w:val="000000"/>
                <w:sz w:val="24"/>
                <w:szCs w:val="24"/>
              </w:rPr>
            </w:pPr>
            <w:r>
              <w:rPr>
                <w:rFonts w:ascii="Arial" w:eastAsia="Arial" w:hAnsi="Arial" w:cs="Arial"/>
                <w:color w:val="000000"/>
                <w:sz w:val="24"/>
                <w:szCs w:val="24"/>
              </w:rPr>
              <w:t>such period or periods beyond which the Initial Period may be extended, specified in the Award Form;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"FDE Group"</w:t>
            </w:r>
          </w:p>
        </w:tc>
        <w:tc>
          <w:tcPr>
            <w:tcW w:w="5816" w:type="dxa"/>
            <w:shd w:val="clear" w:color="auto" w:fill="auto"/>
          </w:tcPr>
          <w:p w:rsidR="009F6891" w:rsidRDefault="006958CC">
            <w:pPr>
              <w:pBdr>
                <w:top w:val="nil"/>
                <w:left w:val="nil"/>
                <w:bottom w:val="nil"/>
                <w:right w:val="nil"/>
                <w:between w:val="nil"/>
              </w:pBdr>
              <w:tabs>
                <w:tab w:val="left" w:pos="-720"/>
                <w:tab w:val="left" w:pos="0"/>
              </w:tabs>
              <w:spacing w:before="120" w:after="120" w:line="240" w:lineRule="auto"/>
              <w:ind w:left="144"/>
              <w:rPr>
                <w:rFonts w:ascii="Arial" w:eastAsia="Arial" w:hAnsi="Arial" w:cs="Arial"/>
                <w:color w:val="000000"/>
                <w:sz w:val="24"/>
                <w:szCs w:val="24"/>
              </w:rPr>
            </w:pPr>
            <w:r>
              <w:rPr>
                <w:rFonts w:ascii="Arial" w:eastAsia="Arial" w:hAnsi="Arial" w:cs="Arial"/>
                <w:color w:val="000000"/>
                <w:sz w:val="24"/>
                <w:szCs w:val="24"/>
              </w:rPr>
              <w:t>the Supplier and any Additional FDE Group Member;</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816" w:type="dxa"/>
            <w:shd w:val="clear" w:color="auto" w:fill="auto"/>
          </w:tcPr>
          <w:p w:rsidR="009F6891" w:rsidRDefault="006958CC">
            <w:pPr>
              <w:pBdr>
                <w:top w:val="nil"/>
                <w:left w:val="nil"/>
                <w:bottom w:val="nil"/>
                <w:right w:val="nil"/>
                <w:between w:val="nil"/>
              </w:pBdr>
              <w:tabs>
                <w:tab w:val="left" w:pos="0"/>
              </w:tabs>
              <w:spacing w:before="120" w:after="120" w:line="240" w:lineRule="auto"/>
              <w:ind w:left="169"/>
              <w:rPr>
                <w:rFonts w:ascii="Arial" w:eastAsia="Arial" w:hAnsi="Arial" w:cs="Arial"/>
                <w:color w:val="000000"/>
                <w:sz w:val="24"/>
                <w:szCs w:val="24"/>
              </w:rPr>
            </w:pPr>
            <w:r>
              <w:rPr>
                <w:rFonts w:ascii="Arial" w:eastAsia="Arial" w:hAnsi="Arial" w:cs="Arial"/>
                <w:color w:val="000000"/>
                <w:sz w:val="24"/>
                <w:szCs w:val="24"/>
              </w:rPr>
              <w:t>The occurrence of one or more the following events:</w:t>
            </w:r>
          </w:p>
          <w:p w:rsidR="009F6891" w:rsidRDefault="006958CC">
            <w:pPr>
              <w:numPr>
                <w:ilvl w:val="0"/>
                <w:numId w:val="25"/>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lastRenderedPageBreak/>
              <w:t>the credit rating of any FDE Group entity drops below the applicable Credit Rating Threshold of the relevant Rating Agency;</w:t>
            </w:r>
          </w:p>
          <w:p w:rsidR="009F6891" w:rsidRDefault="006958CC">
            <w:pPr>
              <w:numPr>
                <w:ilvl w:val="0"/>
                <w:numId w:val="25"/>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any FDE Group entity issues a profits warning to a stock exchange or makes any other public announcement, in each case about a material deterioration in its financial position or prospects;</w:t>
            </w:r>
          </w:p>
          <w:p w:rsidR="009F6891" w:rsidRDefault="006958CC">
            <w:pPr>
              <w:numPr>
                <w:ilvl w:val="0"/>
                <w:numId w:val="25"/>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there being a public investigation into improper financial accounting and reporting, suspected fraud or any other impropriety of any FDE Group entity;</w:t>
            </w:r>
          </w:p>
          <w:p w:rsidR="009F6891" w:rsidRDefault="006958CC">
            <w:pPr>
              <w:numPr>
                <w:ilvl w:val="0"/>
                <w:numId w:val="25"/>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any FDE Group entity commits a material breach of covenant to its lenders;</w:t>
            </w:r>
          </w:p>
          <w:p w:rsidR="009F6891" w:rsidRDefault="006958CC">
            <w:pPr>
              <w:numPr>
                <w:ilvl w:val="0"/>
                <w:numId w:val="25"/>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 xml:space="preserve">a Key Subcontractor notifies the Buyer that the Supplier has not paid any material sums properly due under a specified invoice and not subject to a genuine dispute; </w:t>
            </w:r>
          </w:p>
          <w:p w:rsidR="009F6891" w:rsidRDefault="006958CC">
            <w:pPr>
              <w:numPr>
                <w:ilvl w:val="0"/>
                <w:numId w:val="25"/>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any FDE Group entity extends the filing period for filing its accounts with the Registrar of Companies so that the filing period ends more than nine (9) months after its accounting reference date without an explanation to the Buyer which the Buyer (acting reasonably) considers to be adequate;</w:t>
            </w:r>
          </w:p>
          <w:p w:rsidR="009F6891" w:rsidRDefault="006958CC">
            <w:pPr>
              <w:numPr>
                <w:ilvl w:val="0"/>
                <w:numId w:val="25"/>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any FDE Group entity is late to file its annual accounts without a public notification or an explanation to the Buyer which the Buyer (acting reasonably) considers to be adequate;</w:t>
            </w:r>
          </w:p>
          <w:p w:rsidR="009F6891" w:rsidRDefault="006958CC">
            <w:pPr>
              <w:numPr>
                <w:ilvl w:val="0"/>
                <w:numId w:val="25"/>
              </w:numPr>
              <w:pBdr>
                <w:top w:val="nil"/>
                <w:left w:val="nil"/>
                <w:bottom w:val="nil"/>
                <w:right w:val="nil"/>
                <w:between w:val="nil"/>
              </w:pBdr>
              <w:tabs>
                <w:tab w:val="left" w:pos="-973"/>
                <w:tab w:val="left" w:pos="0"/>
              </w:tabs>
              <w:spacing w:before="120" w:after="120" w:line="240" w:lineRule="auto"/>
              <w:rPr>
                <w:color w:val="000000"/>
              </w:rPr>
            </w:pPr>
            <w:r>
              <w:rPr>
                <w:rFonts w:ascii="Arial" w:eastAsia="Arial" w:hAnsi="Arial" w:cs="Arial"/>
                <w:color w:val="000000"/>
                <w:sz w:val="24"/>
                <w:szCs w:val="24"/>
              </w:rPr>
              <w:t>the directors and/or external auditors of any FDE Group entity conclude that a material uncertainty exists in relation to that FDE Group entity’s going concern in the annual report</w:t>
            </w:r>
            <w:r>
              <w:rPr>
                <w:rFonts w:ascii="Arial" w:eastAsia="Arial" w:hAnsi="Arial" w:cs="Arial"/>
                <w:color w:val="000000"/>
              </w:rPr>
              <w:t xml:space="preserve"> </w:t>
            </w:r>
            <w:r>
              <w:rPr>
                <w:rFonts w:ascii="Arial" w:eastAsia="Arial" w:hAnsi="Arial" w:cs="Arial"/>
                <w:color w:val="000000"/>
                <w:sz w:val="24"/>
                <w:szCs w:val="24"/>
              </w:rPr>
              <w:t>including in a reasonable but plausible downside scenario. This includes, but is not limited to, commentary about liquidity and trading prospects in the reports from directors or external auditors;</w:t>
            </w:r>
          </w:p>
          <w:p w:rsidR="009F6891" w:rsidRDefault="006958CC">
            <w:pPr>
              <w:numPr>
                <w:ilvl w:val="0"/>
                <w:numId w:val="25"/>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 xml:space="preserve">any of the following: </w:t>
            </w:r>
          </w:p>
          <w:p w:rsidR="009F6891" w:rsidRDefault="006958CC">
            <w:pPr>
              <w:numPr>
                <w:ilvl w:val="4"/>
                <w:numId w:val="15"/>
              </w:numPr>
              <w:pBdr>
                <w:top w:val="nil"/>
                <w:left w:val="nil"/>
                <w:bottom w:val="nil"/>
                <w:right w:val="nil"/>
                <w:between w:val="nil"/>
              </w:pBdr>
              <w:tabs>
                <w:tab w:val="left" w:pos="-240"/>
                <w:tab w:val="left" w:pos="0"/>
                <w:tab w:val="left" w:pos="284"/>
                <w:tab w:val="left" w:pos="1674"/>
              </w:tabs>
              <w:spacing w:before="120" w:after="120" w:line="240" w:lineRule="auto"/>
              <w:ind w:left="1728" w:hanging="698"/>
              <w:rPr>
                <w:rFonts w:ascii="Arial" w:eastAsia="Arial" w:hAnsi="Arial" w:cs="Arial"/>
              </w:rPr>
            </w:pPr>
            <w:r>
              <w:rPr>
                <w:rFonts w:ascii="Arial" w:eastAsia="Arial" w:hAnsi="Arial" w:cs="Arial"/>
                <w:color w:val="000000"/>
                <w:sz w:val="24"/>
                <w:szCs w:val="24"/>
              </w:rPr>
              <w:t xml:space="preserve">any FDE Group entity makes a public announcement which contains commentary with regards </w:t>
            </w:r>
            <w:r>
              <w:rPr>
                <w:rFonts w:ascii="Arial" w:eastAsia="Arial" w:hAnsi="Arial" w:cs="Arial"/>
                <w:color w:val="000000"/>
                <w:sz w:val="24"/>
                <w:szCs w:val="24"/>
              </w:rPr>
              <w:lastRenderedPageBreak/>
              <w:t>to that FDE Group entity’s liquidity and trading and trading prospects, such as but not limited to, a profit warning or ability to trade as a going concern;</w:t>
            </w:r>
          </w:p>
          <w:p w:rsidR="009F6891" w:rsidRDefault="006958CC">
            <w:pPr>
              <w:numPr>
                <w:ilvl w:val="4"/>
                <w:numId w:val="15"/>
              </w:numPr>
              <w:pBdr>
                <w:top w:val="nil"/>
                <w:left w:val="nil"/>
                <w:bottom w:val="nil"/>
                <w:right w:val="nil"/>
                <w:between w:val="nil"/>
              </w:pBdr>
              <w:tabs>
                <w:tab w:val="left" w:pos="-240"/>
                <w:tab w:val="left" w:pos="0"/>
                <w:tab w:val="left" w:pos="284"/>
                <w:tab w:val="left" w:pos="1674"/>
              </w:tabs>
              <w:spacing w:before="120" w:after="120" w:line="240" w:lineRule="auto"/>
              <w:ind w:left="1728" w:hanging="698"/>
              <w:rPr>
                <w:rFonts w:ascii="Arial" w:eastAsia="Arial" w:hAnsi="Arial" w:cs="Arial"/>
              </w:rPr>
            </w:pPr>
            <w:r>
              <w:rPr>
                <w:rFonts w:ascii="Arial" w:eastAsia="Arial" w:hAnsi="Arial" w:cs="Arial"/>
                <w:color w:val="000000"/>
                <w:sz w:val="24"/>
                <w:szCs w:val="24"/>
              </w:rPr>
              <w:t xml:space="preserve">commencement of any litigation against any FDE Group entity with respect to financial indebtedness greater than £5m or obligations under a service contract with a total contract value greater than £5m; </w:t>
            </w:r>
          </w:p>
          <w:p w:rsidR="009F6891" w:rsidRDefault="006958CC">
            <w:pPr>
              <w:numPr>
                <w:ilvl w:val="4"/>
                <w:numId w:val="15"/>
              </w:numPr>
              <w:pBdr>
                <w:top w:val="nil"/>
                <w:left w:val="nil"/>
                <w:bottom w:val="nil"/>
                <w:right w:val="nil"/>
                <w:between w:val="nil"/>
              </w:pBdr>
              <w:tabs>
                <w:tab w:val="left" w:pos="-240"/>
                <w:tab w:val="left" w:pos="0"/>
                <w:tab w:val="left" w:pos="284"/>
                <w:tab w:val="left" w:pos="1674"/>
              </w:tabs>
              <w:spacing w:before="120" w:after="120" w:line="240" w:lineRule="auto"/>
              <w:ind w:left="1728" w:hanging="698"/>
              <w:rPr>
                <w:rFonts w:ascii="Arial" w:eastAsia="Arial" w:hAnsi="Arial" w:cs="Arial"/>
              </w:rPr>
            </w:pPr>
            <w:r>
              <w:rPr>
                <w:rFonts w:ascii="Arial" w:eastAsia="Arial" w:hAnsi="Arial" w:cs="Arial"/>
                <w:color w:val="000000"/>
                <w:sz w:val="24"/>
                <w:szCs w:val="24"/>
              </w:rPr>
              <w:t xml:space="preserve">non-payment by any FDE Group entity of any financial indebtedness; </w:t>
            </w:r>
          </w:p>
          <w:p w:rsidR="009F6891" w:rsidRDefault="006958CC">
            <w:pPr>
              <w:numPr>
                <w:ilvl w:val="4"/>
                <w:numId w:val="15"/>
              </w:numPr>
              <w:pBdr>
                <w:top w:val="nil"/>
                <w:left w:val="nil"/>
                <w:bottom w:val="nil"/>
                <w:right w:val="nil"/>
                <w:between w:val="nil"/>
              </w:pBdr>
              <w:tabs>
                <w:tab w:val="left" w:pos="-240"/>
                <w:tab w:val="left" w:pos="0"/>
                <w:tab w:val="left" w:pos="284"/>
                <w:tab w:val="left" w:pos="1674"/>
              </w:tabs>
              <w:spacing w:before="120" w:after="120" w:line="240" w:lineRule="auto"/>
              <w:ind w:left="1728" w:hanging="698"/>
              <w:rPr>
                <w:rFonts w:ascii="Arial" w:eastAsia="Arial" w:hAnsi="Arial" w:cs="Arial"/>
              </w:rPr>
            </w:pPr>
            <w:r>
              <w:rPr>
                <w:rFonts w:ascii="Arial" w:eastAsia="Arial" w:hAnsi="Arial" w:cs="Arial"/>
                <w:color w:val="000000"/>
                <w:sz w:val="24"/>
                <w:szCs w:val="24"/>
              </w:rPr>
              <w:t xml:space="preserve">any financial indebtedness of any FDE Group entity becoming due as a result of an event of default; </w:t>
            </w:r>
          </w:p>
          <w:p w:rsidR="009F6891" w:rsidRDefault="006958CC">
            <w:pPr>
              <w:numPr>
                <w:ilvl w:val="4"/>
                <w:numId w:val="15"/>
              </w:numPr>
              <w:pBdr>
                <w:top w:val="nil"/>
                <w:left w:val="nil"/>
                <w:bottom w:val="nil"/>
                <w:right w:val="nil"/>
                <w:between w:val="nil"/>
              </w:pBdr>
              <w:tabs>
                <w:tab w:val="left" w:pos="-240"/>
                <w:tab w:val="left" w:pos="0"/>
                <w:tab w:val="left" w:pos="284"/>
                <w:tab w:val="left" w:pos="1674"/>
              </w:tabs>
              <w:spacing w:before="120" w:after="120" w:line="240" w:lineRule="auto"/>
              <w:ind w:left="1728" w:hanging="698"/>
              <w:rPr>
                <w:rFonts w:ascii="Arial" w:eastAsia="Arial" w:hAnsi="Arial" w:cs="Arial"/>
              </w:rPr>
            </w:pPr>
            <w:r>
              <w:rPr>
                <w:rFonts w:ascii="Arial" w:eastAsia="Arial" w:hAnsi="Arial" w:cs="Arial"/>
                <w:color w:val="000000"/>
                <w:sz w:val="24"/>
                <w:szCs w:val="24"/>
              </w:rPr>
              <w:t xml:space="preserve">the cancellation or suspension of any financial indebtedness in respect of any FDE Group entity; or </w:t>
            </w:r>
          </w:p>
          <w:p w:rsidR="009F6891" w:rsidRDefault="006958CC">
            <w:pPr>
              <w:numPr>
                <w:ilvl w:val="4"/>
                <w:numId w:val="15"/>
              </w:numPr>
              <w:pBdr>
                <w:top w:val="nil"/>
                <w:left w:val="nil"/>
                <w:bottom w:val="nil"/>
                <w:right w:val="nil"/>
                <w:between w:val="nil"/>
              </w:pBdr>
              <w:tabs>
                <w:tab w:val="left" w:pos="-240"/>
                <w:tab w:val="left" w:pos="0"/>
                <w:tab w:val="left" w:pos="284"/>
                <w:tab w:val="left" w:pos="1674"/>
              </w:tabs>
              <w:spacing w:before="120" w:after="120" w:line="240" w:lineRule="auto"/>
              <w:ind w:left="1728" w:hanging="698"/>
              <w:rPr>
                <w:rFonts w:ascii="Arial" w:eastAsia="Arial" w:hAnsi="Arial" w:cs="Arial"/>
              </w:rPr>
            </w:pPr>
            <w:r>
              <w:rPr>
                <w:rFonts w:ascii="Arial" w:eastAsia="Arial" w:hAnsi="Arial" w:cs="Arial"/>
                <w:color w:val="000000"/>
                <w:sz w:val="24"/>
                <w:szCs w:val="24"/>
              </w:rPr>
              <w:t xml:space="preserve">an external auditor of any FDE Group entity expressing a qualified opinion on, or including an emphasis of matter in, its opinion on the statutory accounts of that FDE Group entity, </w:t>
            </w:r>
          </w:p>
          <w:p w:rsidR="009F6891" w:rsidRDefault="006958CC">
            <w:pPr>
              <w:pBdr>
                <w:top w:val="nil"/>
                <w:left w:val="nil"/>
                <w:bottom w:val="nil"/>
                <w:right w:val="nil"/>
                <w:between w:val="nil"/>
              </w:pBdr>
              <w:tabs>
                <w:tab w:val="left" w:pos="-1039"/>
              </w:tabs>
              <w:spacing w:before="120" w:after="120" w:line="240" w:lineRule="auto"/>
              <w:ind w:left="1030"/>
              <w:rPr>
                <w:rFonts w:ascii="Arial" w:eastAsia="Arial" w:hAnsi="Arial" w:cs="Arial"/>
                <w:color w:val="000000"/>
                <w:sz w:val="24"/>
                <w:szCs w:val="24"/>
              </w:rPr>
            </w:pPr>
            <w:r>
              <w:rPr>
                <w:rFonts w:ascii="Arial" w:eastAsia="Arial" w:hAnsi="Arial" w:cs="Arial"/>
                <w:color w:val="000000"/>
                <w:sz w:val="24"/>
                <w:szCs w:val="24"/>
              </w:rPr>
              <w:t>in each case which the Buyer reasonably believes (or would be likely reasonably to believe) could directly impact on the continued provision of the Deliverables in accordance with this Contract; or</w:t>
            </w:r>
          </w:p>
          <w:p w:rsidR="009F6891" w:rsidRDefault="006958CC">
            <w:pPr>
              <w:numPr>
                <w:ilvl w:val="0"/>
                <w:numId w:val="25"/>
              </w:numPr>
              <w:pBdr>
                <w:top w:val="nil"/>
                <w:left w:val="nil"/>
                <w:bottom w:val="nil"/>
                <w:right w:val="nil"/>
                <w:between w:val="nil"/>
              </w:pBdr>
              <w:tabs>
                <w:tab w:val="left" w:pos="-973"/>
                <w:tab w:val="left" w:pos="0"/>
              </w:tabs>
              <w:spacing w:before="120" w:after="120" w:line="240" w:lineRule="auto"/>
              <w:rPr>
                <w:color w:val="000000"/>
              </w:rPr>
            </w:pPr>
            <w:r>
              <w:rPr>
                <w:rFonts w:ascii="Arial" w:eastAsia="Arial" w:hAnsi="Arial" w:cs="Arial"/>
                <w:color w:val="000000"/>
                <w:sz w:val="24"/>
                <w:szCs w:val="24"/>
              </w:rPr>
              <w:t>any</w:t>
            </w:r>
            <w:r w:rsidR="00F5737C">
              <w:rPr>
                <w:rFonts w:ascii="Arial" w:eastAsia="Arial" w:hAnsi="Arial" w:cs="Arial"/>
                <w:color w:val="000000"/>
                <w:sz w:val="24"/>
                <w:szCs w:val="24"/>
              </w:rPr>
              <w:t xml:space="preserve"> </w:t>
            </w:r>
            <w:r>
              <w:rPr>
                <w:rFonts w:ascii="Arial" w:eastAsia="Arial" w:hAnsi="Arial" w:cs="Arial"/>
                <w:color w:val="000000"/>
                <w:sz w:val="24"/>
                <w:szCs w:val="24"/>
              </w:rPr>
              <w:t>of the Financial Indicators set out in Part C of Annex 2 of Schedule 24 for any of the FDE Group entities failing to meet the required Financial Target Threshold;</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"Financial Report"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 report provided by the Supplier to the Buyer that:</w:t>
            </w:r>
          </w:p>
          <w:p w:rsidR="009F6891" w:rsidRDefault="006958CC">
            <w:pPr>
              <w:numPr>
                <w:ilvl w:val="0"/>
                <w:numId w:val="27"/>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to the extent permitted by Law, provides a true and fair reflection of the Costs and Supplier Profit Margin forecast by the Supplier;</w:t>
            </w:r>
          </w:p>
          <w:p w:rsidR="009F6891" w:rsidRDefault="006958CC">
            <w:pPr>
              <w:numPr>
                <w:ilvl w:val="0"/>
                <w:numId w:val="27"/>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to the extent permitted by Law, provides detail a true and fair reflection of the costs and expenses to be incurred by Key Subcontractors (as requested by the Buyer);</w:t>
            </w:r>
          </w:p>
          <w:p w:rsidR="009F6891" w:rsidRDefault="006958CC">
            <w:pPr>
              <w:numPr>
                <w:ilvl w:val="0"/>
                <w:numId w:val="27"/>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lastRenderedPageBreak/>
              <w:t>is in the same software package (Microsoft Excel or Microsoft Word), layout and format as the blank templates which have been issued by the Buyer to the Supplier on or before the Effective Date for the purposes of this Contract; and</w:t>
            </w:r>
          </w:p>
          <w:p w:rsidR="009F6891" w:rsidRDefault="006958CC">
            <w:pPr>
              <w:numPr>
                <w:ilvl w:val="0"/>
                <w:numId w:val="27"/>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 xml:space="preserve">is certified by the Supplier's Chief Financial Officer or Director of Finance;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"Financial Transparency Objectives"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means:</w:t>
            </w:r>
          </w:p>
          <w:p w:rsidR="009F6891" w:rsidRDefault="006958CC">
            <w:pPr>
              <w:numPr>
                <w:ilvl w:val="0"/>
                <w:numId w:val="29"/>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the Buyer having a clear analysis of the Costs, Overhead recoveries (where relevant), time spent by Supplier Staff in providing the Services and the Supplier Profit Margin so that it can understand any payment sought by the Supplier;</w:t>
            </w:r>
          </w:p>
          <w:p w:rsidR="009F6891" w:rsidRDefault="006958CC">
            <w:pPr>
              <w:numPr>
                <w:ilvl w:val="0"/>
                <w:numId w:val="29"/>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the Parties being able to understand Cost forecasts and to have confidence that these are based on justifiable numbers and appropriate forecasting techniques;</w:t>
            </w:r>
          </w:p>
          <w:p w:rsidR="009F6891" w:rsidRDefault="006958CC">
            <w:pPr>
              <w:numPr>
                <w:ilvl w:val="0"/>
                <w:numId w:val="29"/>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the Parties being able to understand the quantitative impact of any Variations that affect ongoing Costs and identifying how these could be mitigated and/or reflected in the Charges;</w:t>
            </w:r>
          </w:p>
          <w:p w:rsidR="009F6891" w:rsidRDefault="006958CC">
            <w:pPr>
              <w:numPr>
                <w:ilvl w:val="0"/>
                <w:numId w:val="29"/>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the Parties being able to review, address issues with and re-forecast progress in relation to the provision of the Services;</w:t>
            </w:r>
          </w:p>
          <w:p w:rsidR="009F6891" w:rsidRDefault="006958CC">
            <w:pPr>
              <w:numPr>
                <w:ilvl w:val="0"/>
                <w:numId w:val="29"/>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the Parties challenging each other with ideas for efficiency and improvements; and</w:t>
            </w:r>
          </w:p>
          <w:p w:rsidR="009F6891" w:rsidRDefault="006958CC">
            <w:pPr>
              <w:numPr>
                <w:ilvl w:val="0"/>
                <w:numId w:val="29"/>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enabling the Buyer to demonstrate that it is achieving value for money for the tax payer relative to current market prices;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"FOIA"</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any event, circumstance, matter or cause affecting the performance by either the Buyer or the Supplier of its obligations arising from:</w:t>
            </w:r>
          </w:p>
          <w:p w:rsidR="009F6891" w:rsidRDefault="006958CC">
            <w:pPr>
              <w:numPr>
                <w:ilvl w:val="0"/>
                <w:numId w:val="31"/>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 xml:space="preserve">acts, events, omissions, happenings or non-happenings beyond the reasonable </w:t>
            </w:r>
            <w:r>
              <w:rPr>
                <w:rFonts w:ascii="Arial" w:eastAsia="Arial" w:hAnsi="Arial" w:cs="Arial"/>
                <w:color w:val="000000"/>
                <w:sz w:val="24"/>
                <w:szCs w:val="24"/>
              </w:rPr>
              <w:lastRenderedPageBreak/>
              <w:t>control of the Affected Party which prevent or materially delay the Affected Party from performing its obligations under a Contract;</w:t>
            </w:r>
          </w:p>
          <w:p w:rsidR="009F6891" w:rsidRDefault="006958CC">
            <w:pPr>
              <w:numPr>
                <w:ilvl w:val="0"/>
                <w:numId w:val="31"/>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riots, civil commotion, war or armed conflict, acts of terrorism, nuclear, biological or chemical warfare;</w:t>
            </w:r>
          </w:p>
          <w:p w:rsidR="009F6891" w:rsidRDefault="006958CC">
            <w:pPr>
              <w:numPr>
                <w:ilvl w:val="0"/>
                <w:numId w:val="31"/>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acts of a Crown Body, local government or regulatory bodies;</w:t>
            </w:r>
          </w:p>
          <w:p w:rsidR="009F6891" w:rsidRDefault="006958CC">
            <w:pPr>
              <w:numPr>
                <w:ilvl w:val="0"/>
                <w:numId w:val="31"/>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fire, flood or any disaster; or</w:t>
            </w:r>
          </w:p>
          <w:p w:rsidR="009F6891" w:rsidRDefault="006958CC">
            <w:pPr>
              <w:numPr>
                <w:ilvl w:val="0"/>
                <w:numId w:val="31"/>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an industrial dispute affecting a third party for which a substitute third party is not reasonably available but excluding:</w:t>
            </w:r>
          </w:p>
          <w:p w:rsidR="009F6891" w:rsidRDefault="006958CC">
            <w:pPr>
              <w:numPr>
                <w:ilvl w:val="4"/>
                <w:numId w:val="33"/>
              </w:numPr>
              <w:pBdr>
                <w:top w:val="nil"/>
                <w:left w:val="nil"/>
                <w:bottom w:val="nil"/>
                <w:right w:val="nil"/>
                <w:between w:val="nil"/>
              </w:pBdr>
              <w:tabs>
                <w:tab w:val="left" w:pos="40"/>
                <w:tab w:val="left" w:pos="1954"/>
              </w:tabs>
              <w:spacing w:before="120" w:after="120" w:line="240" w:lineRule="auto"/>
              <w:ind w:left="1448" w:hanging="560"/>
              <w:rPr>
                <w:rFonts w:ascii="Arial" w:eastAsia="Arial" w:hAnsi="Arial" w:cs="Arial"/>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rsidR="009F6891" w:rsidRDefault="006958CC">
            <w:pPr>
              <w:numPr>
                <w:ilvl w:val="4"/>
                <w:numId w:val="33"/>
              </w:numPr>
              <w:pBdr>
                <w:top w:val="nil"/>
                <w:left w:val="nil"/>
                <w:bottom w:val="nil"/>
                <w:right w:val="nil"/>
                <w:between w:val="nil"/>
              </w:pBdr>
              <w:tabs>
                <w:tab w:val="left" w:pos="40"/>
                <w:tab w:val="left" w:pos="1954"/>
              </w:tabs>
              <w:spacing w:before="120" w:after="120" w:line="240" w:lineRule="auto"/>
              <w:ind w:left="1448" w:hanging="560"/>
              <w:rPr>
                <w:rFonts w:ascii="Arial" w:eastAsia="Arial" w:hAnsi="Arial" w:cs="Arial"/>
              </w:rPr>
            </w:pPr>
            <w:r>
              <w:rPr>
                <w:rFonts w:ascii="Arial" w:eastAsia="Arial" w:hAnsi="Arial" w:cs="Arial"/>
                <w:color w:val="000000"/>
                <w:sz w:val="24"/>
                <w:szCs w:val="24"/>
              </w:rPr>
              <w:t xml:space="preserve">any event, occurrence, circumstance, matter or </w:t>
            </w:r>
            <w:proofErr w:type="gramStart"/>
            <w:r>
              <w:rPr>
                <w:rFonts w:ascii="Arial" w:eastAsia="Arial" w:hAnsi="Arial" w:cs="Arial"/>
                <w:color w:val="000000"/>
                <w:sz w:val="24"/>
                <w:szCs w:val="24"/>
              </w:rPr>
              <w:t>cause</w:t>
            </w:r>
            <w:proofErr w:type="gramEnd"/>
            <w:r>
              <w:rPr>
                <w:rFonts w:ascii="Arial" w:eastAsia="Arial" w:hAnsi="Arial" w:cs="Arial"/>
                <w:color w:val="000000"/>
                <w:sz w:val="24"/>
                <w:szCs w:val="24"/>
              </w:rPr>
              <w:t xml:space="preserve"> which is attributable to the wilful act, neglect or failure to take reasonable precautions against it by the Party concerned; and</w:t>
            </w:r>
          </w:p>
          <w:p w:rsidR="009F6891" w:rsidRDefault="006958CC">
            <w:pPr>
              <w:numPr>
                <w:ilvl w:val="4"/>
                <w:numId w:val="33"/>
              </w:numPr>
              <w:pBdr>
                <w:top w:val="nil"/>
                <w:left w:val="nil"/>
                <w:bottom w:val="nil"/>
                <w:right w:val="nil"/>
                <w:between w:val="nil"/>
              </w:pBdr>
              <w:tabs>
                <w:tab w:val="left" w:pos="40"/>
                <w:tab w:val="left" w:pos="1954"/>
              </w:tabs>
              <w:spacing w:before="120" w:after="120" w:line="240" w:lineRule="auto"/>
              <w:ind w:left="1448" w:hanging="560"/>
              <w:rPr>
                <w:rFonts w:ascii="Arial" w:eastAsia="Arial" w:hAnsi="Arial" w:cs="Arial"/>
              </w:rPr>
            </w:pPr>
            <w:r>
              <w:rPr>
                <w:rFonts w:ascii="Arial" w:eastAsia="Arial" w:hAnsi="Arial" w:cs="Arial"/>
                <w:color w:val="000000"/>
                <w:sz w:val="24"/>
                <w:szCs w:val="24"/>
              </w:rPr>
              <w:t>any failure of delay caused by a lack of funds,</w:t>
            </w:r>
          </w:p>
          <w:p w:rsidR="009F6891" w:rsidRDefault="006958CC">
            <w:pPr>
              <w:pBdr>
                <w:top w:val="nil"/>
                <w:left w:val="nil"/>
                <w:bottom w:val="nil"/>
                <w:right w:val="nil"/>
                <w:between w:val="nil"/>
              </w:pBdr>
              <w:tabs>
                <w:tab w:val="left" w:pos="-720"/>
                <w:tab w:val="left" w:pos="0"/>
              </w:tabs>
              <w:spacing w:before="120" w:after="120" w:line="240" w:lineRule="auto"/>
              <w:ind w:left="144"/>
              <w:rPr>
                <w:rFonts w:ascii="Arial" w:eastAsia="Arial" w:hAnsi="Arial" w:cs="Arial"/>
                <w:color w:val="000000"/>
                <w:sz w:val="24"/>
                <w:szCs w:val="24"/>
              </w:rPr>
            </w:pPr>
            <w:r>
              <w:rPr>
                <w:rFonts w:ascii="Arial" w:eastAsia="Arial" w:hAnsi="Arial" w:cs="Arial"/>
                <w:color w:val="000000"/>
                <w:sz w:val="24"/>
                <w:szCs w:val="24"/>
              </w:rPr>
              <w:t>and which is not attributable to any wilful act, neglect or failure to take reasonable preventative action by that Party;</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"Force Majeure Notice"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5816" w:type="dxa"/>
            <w:shd w:val="clear" w:color="auto" w:fill="auto"/>
          </w:tcPr>
          <w:p w:rsidR="009F6891" w:rsidRDefault="006958CC">
            <w:pPr>
              <w:numPr>
                <w:ilvl w:val="0"/>
                <w:numId w:val="35"/>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 xml:space="preserve">the legislation in Part 5 of the Finance Act 2013; and </w:t>
            </w:r>
          </w:p>
          <w:p w:rsidR="009F6891" w:rsidRDefault="006958CC">
            <w:pPr>
              <w:numPr>
                <w:ilvl w:val="0"/>
                <w:numId w:val="35"/>
              </w:numPr>
              <w:pBdr>
                <w:top w:val="nil"/>
                <w:left w:val="nil"/>
                <w:bottom w:val="nil"/>
                <w:right w:val="nil"/>
                <w:between w:val="nil"/>
              </w:pBdr>
              <w:tabs>
                <w:tab w:val="left" w:pos="-973"/>
                <w:tab w:val="left" w:pos="0"/>
              </w:tabs>
              <w:spacing w:before="120" w:after="120" w:line="240" w:lineRule="auto"/>
              <w:rPr>
                <w:rFonts w:ascii="Arial" w:eastAsia="Arial" w:hAnsi="Arial" w:cs="Arial"/>
                <w:color w:val="000000"/>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"Goods"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Schedule 2 (Specification) and in relation to a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At any </w:t>
            </w:r>
            <w:proofErr w:type="gramStart"/>
            <w:r>
              <w:rPr>
                <w:rFonts w:ascii="Arial" w:eastAsia="Arial" w:hAnsi="Arial" w:cs="Arial"/>
                <w:color w:val="000000"/>
                <w:sz w:val="24"/>
                <w:szCs w:val="24"/>
              </w:rPr>
              <w:t>time</w:t>
            </w:r>
            <w:proofErr w:type="gramEnd"/>
            <w:r>
              <w:rPr>
                <w:rFonts w:ascii="Arial" w:eastAsia="Arial" w:hAnsi="Arial" w:cs="Arial"/>
                <w:color w:val="000000"/>
                <w:sz w:val="24"/>
                <w:szCs w:val="24"/>
              </w:rPr>
              <w:t xml:space="preserve"> the standards, practices, methods and procedures conforming to the Law and the exercise of the degree of skill and care, diligence, prudence and foresight which would reasonably and ordinarily be expected at such time from a skilled and experienced person or body engaged within the relevant industry or business sector;</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"Government"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Welsh Government), including government ministers and government departments and other bodies, persons, commissions or agencies from time to time carrying out functions on its behalf;</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"Government Data"</w:t>
            </w:r>
          </w:p>
        </w:tc>
        <w:tc>
          <w:tcPr>
            <w:tcW w:w="5816" w:type="dxa"/>
            <w:shd w:val="clear" w:color="auto" w:fill="auto"/>
          </w:tcPr>
          <w:p w:rsidR="009F6891" w:rsidRDefault="006958CC">
            <w:pPr>
              <w:numPr>
                <w:ilvl w:val="0"/>
                <w:numId w:val="17"/>
              </w:numPr>
              <w:pBdr>
                <w:top w:val="nil"/>
                <w:left w:val="nil"/>
                <w:bottom w:val="nil"/>
                <w:right w:val="nil"/>
                <w:between w:val="nil"/>
              </w:pBdr>
              <w:tabs>
                <w:tab w:val="left" w:pos="-973"/>
                <w:tab w:val="left" w:pos="0"/>
              </w:tabs>
              <w:spacing w:before="120" w:after="120" w:line="240" w:lineRule="auto"/>
              <w:rPr>
                <w:color w:val="000000"/>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Buyer’s Confidential Information, and which:</w:t>
            </w:r>
          </w:p>
          <w:p w:rsidR="009F6891" w:rsidRDefault="006958CC">
            <w:pPr>
              <w:numPr>
                <w:ilvl w:val="4"/>
                <w:numId w:val="19"/>
              </w:numPr>
              <w:pBdr>
                <w:top w:val="nil"/>
                <w:left w:val="nil"/>
                <w:bottom w:val="nil"/>
                <w:right w:val="nil"/>
                <w:between w:val="nil"/>
              </w:pBdr>
              <w:tabs>
                <w:tab w:val="left" w:pos="0"/>
                <w:tab w:val="left" w:pos="43"/>
              </w:tabs>
              <w:spacing w:before="120" w:after="120" w:line="240" w:lineRule="auto"/>
              <w:ind w:left="1445" w:hanging="557"/>
            </w:pPr>
            <w:r>
              <w:rPr>
                <w:rFonts w:ascii="Arial" w:eastAsia="Arial" w:hAnsi="Arial" w:cs="Arial"/>
                <w:color w:val="000000"/>
                <w:sz w:val="24"/>
                <w:szCs w:val="24"/>
              </w:rPr>
              <w:t>are supplied to the Supplier by or on behalf of the Buyer; and/or</w:t>
            </w:r>
          </w:p>
          <w:p w:rsidR="009F6891" w:rsidRDefault="006958CC">
            <w:pPr>
              <w:numPr>
                <w:ilvl w:val="4"/>
                <w:numId w:val="19"/>
              </w:numPr>
              <w:pBdr>
                <w:top w:val="nil"/>
                <w:left w:val="nil"/>
                <w:bottom w:val="nil"/>
                <w:right w:val="nil"/>
                <w:between w:val="nil"/>
              </w:pBdr>
              <w:tabs>
                <w:tab w:val="left" w:pos="0"/>
                <w:tab w:val="left" w:pos="43"/>
              </w:tabs>
              <w:spacing w:before="120" w:after="120" w:line="240" w:lineRule="auto"/>
              <w:ind w:left="1445" w:hanging="557"/>
            </w:pPr>
            <w:r>
              <w:rPr>
                <w:rFonts w:ascii="Arial" w:eastAsia="Arial" w:hAnsi="Arial" w:cs="Arial"/>
                <w:color w:val="000000"/>
                <w:sz w:val="24"/>
                <w:szCs w:val="24"/>
              </w:rPr>
              <w:t>the Supplier is required to generate, process, store or transmit pursuant to this Contract; or</w:t>
            </w:r>
          </w:p>
          <w:p w:rsidR="009F6891" w:rsidRDefault="006958CC">
            <w:pPr>
              <w:numPr>
                <w:ilvl w:val="0"/>
                <w:numId w:val="17"/>
              </w:numPr>
              <w:pBdr>
                <w:top w:val="nil"/>
                <w:left w:val="nil"/>
                <w:bottom w:val="nil"/>
                <w:right w:val="nil"/>
                <w:between w:val="nil"/>
              </w:pBdr>
              <w:tabs>
                <w:tab w:val="left" w:pos="-973"/>
                <w:tab w:val="left" w:pos="0"/>
              </w:tabs>
              <w:spacing w:before="120" w:after="120" w:line="240" w:lineRule="auto"/>
              <w:rPr>
                <w:color w:val="000000"/>
              </w:rPr>
            </w:pPr>
            <w:r>
              <w:rPr>
                <w:rFonts w:ascii="Arial" w:eastAsia="Arial" w:hAnsi="Arial" w:cs="Arial"/>
                <w:color w:val="000000"/>
                <w:sz w:val="24"/>
                <w:szCs w:val="24"/>
              </w:rPr>
              <w:t>any Personal Data for which the Buyer is Controller;</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"Government Procurement Card"</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"Guarantor"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Schedule 23 (Guarantee) in relation to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"HMRC"</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"ICT Environment"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"ICT Policy"</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Award Form (if used), which is in force as at the Effective Date (a copy of which has been supplied to the Supplier), as updated from time to time in accordance with the Variation Procedure;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Buyer completed in good faith, including:</w:t>
            </w:r>
          </w:p>
          <w:p w:rsidR="009F6891" w:rsidRDefault="006958CC">
            <w:pPr>
              <w:numPr>
                <w:ilvl w:val="0"/>
                <w:numId w:val="21"/>
              </w:numPr>
              <w:pBdr>
                <w:top w:val="nil"/>
                <w:left w:val="nil"/>
                <w:bottom w:val="nil"/>
                <w:right w:val="nil"/>
                <w:between w:val="nil"/>
              </w:pBdr>
              <w:tabs>
                <w:tab w:val="left" w:pos="-973"/>
                <w:tab w:val="left" w:pos="0"/>
              </w:tabs>
              <w:spacing w:before="120" w:after="120" w:line="240" w:lineRule="auto"/>
              <w:rPr>
                <w:color w:val="000000"/>
              </w:rPr>
            </w:pPr>
            <w:r>
              <w:rPr>
                <w:rFonts w:ascii="Arial" w:eastAsia="Arial" w:hAnsi="Arial" w:cs="Arial"/>
                <w:color w:val="000000"/>
                <w:sz w:val="24"/>
                <w:szCs w:val="24"/>
              </w:rPr>
              <w:t xml:space="preserve">details of the impact of the proposed Variation on the Deliverables and the Supplier's ability to meet its other obligations under this Contract; </w:t>
            </w:r>
          </w:p>
          <w:p w:rsidR="009F6891" w:rsidRDefault="006958CC">
            <w:pPr>
              <w:numPr>
                <w:ilvl w:val="0"/>
                <w:numId w:val="21"/>
              </w:numPr>
              <w:pBdr>
                <w:top w:val="nil"/>
                <w:left w:val="nil"/>
                <w:bottom w:val="nil"/>
                <w:right w:val="nil"/>
                <w:between w:val="nil"/>
              </w:pBdr>
              <w:tabs>
                <w:tab w:val="left" w:pos="-973"/>
                <w:tab w:val="left" w:pos="0"/>
              </w:tabs>
              <w:spacing w:before="120" w:after="120" w:line="240" w:lineRule="auto"/>
              <w:rPr>
                <w:color w:val="000000"/>
              </w:rPr>
            </w:pPr>
            <w:r>
              <w:rPr>
                <w:rFonts w:ascii="Arial" w:eastAsia="Arial" w:hAnsi="Arial" w:cs="Arial"/>
                <w:color w:val="000000"/>
                <w:sz w:val="24"/>
                <w:szCs w:val="24"/>
              </w:rPr>
              <w:t>details of the cost of implementing the proposed Variation;</w:t>
            </w:r>
          </w:p>
          <w:p w:rsidR="009F6891" w:rsidRDefault="006958CC">
            <w:pPr>
              <w:numPr>
                <w:ilvl w:val="0"/>
                <w:numId w:val="21"/>
              </w:numPr>
              <w:pBdr>
                <w:top w:val="nil"/>
                <w:left w:val="nil"/>
                <w:bottom w:val="nil"/>
                <w:right w:val="nil"/>
                <w:between w:val="nil"/>
              </w:pBdr>
              <w:tabs>
                <w:tab w:val="left" w:pos="-973"/>
                <w:tab w:val="left" w:pos="0"/>
              </w:tabs>
              <w:spacing w:before="120" w:after="120" w:line="240" w:lineRule="auto"/>
              <w:rPr>
                <w:color w:val="000000"/>
              </w:rPr>
            </w:pPr>
            <w:r>
              <w:rPr>
                <w:rFonts w:ascii="Arial" w:eastAsia="Arial" w:hAnsi="Arial" w:cs="Arial"/>
                <w:color w:val="000000"/>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rsidR="009F6891" w:rsidRDefault="006958CC">
            <w:pPr>
              <w:numPr>
                <w:ilvl w:val="0"/>
                <w:numId w:val="21"/>
              </w:numPr>
              <w:pBdr>
                <w:top w:val="nil"/>
                <w:left w:val="nil"/>
                <w:bottom w:val="nil"/>
                <w:right w:val="nil"/>
                <w:between w:val="nil"/>
              </w:pBdr>
              <w:tabs>
                <w:tab w:val="left" w:pos="-973"/>
                <w:tab w:val="left" w:pos="0"/>
              </w:tabs>
              <w:spacing w:before="120" w:after="120" w:line="240" w:lineRule="auto"/>
              <w:rPr>
                <w:color w:val="000000"/>
              </w:rPr>
            </w:pPr>
            <w:r>
              <w:rPr>
                <w:rFonts w:ascii="Arial" w:eastAsia="Arial" w:hAnsi="Arial" w:cs="Arial"/>
                <w:color w:val="000000"/>
                <w:sz w:val="24"/>
                <w:szCs w:val="24"/>
              </w:rPr>
              <w:t>a timetable for the implementation, together with any proposals for the testing of the Variation; and</w:t>
            </w:r>
          </w:p>
          <w:p w:rsidR="009F6891" w:rsidRDefault="006958CC">
            <w:pPr>
              <w:numPr>
                <w:ilvl w:val="0"/>
                <w:numId w:val="21"/>
              </w:numPr>
              <w:pBdr>
                <w:top w:val="nil"/>
                <w:left w:val="nil"/>
                <w:bottom w:val="nil"/>
                <w:right w:val="nil"/>
                <w:between w:val="nil"/>
              </w:pBdr>
              <w:tabs>
                <w:tab w:val="left" w:pos="-973"/>
                <w:tab w:val="left" w:pos="0"/>
              </w:tabs>
              <w:spacing w:before="120" w:after="120" w:line="240" w:lineRule="auto"/>
              <w:rPr>
                <w:color w:val="000000"/>
              </w:rPr>
            </w:pPr>
            <w:r>
              <w:rPr>
                <w:rFonts w:ascii="Arial" w:eastAsia="Arial" w:hAnsi="Arial" w:cs="Arial"/>
                <w:color w:val="000000"/>
                <w:sz w:val="24"/>
                <w:szCs w:val="24"/>
              </w:rPr>
              <w:t>such other information as the Buyer may reasonably request in (or in response to) the Variation request;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Schedule 8 (Implementation Plan and Testing) where that Schedule is used or otherwise as agreed between the Supplier and the Buyer;</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"Incorporated Terms"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contractual terms applicable to this Contract specified in the Award Form;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"Indemnifier"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"Independent Controller"</w:t>
            </w:r>
          </w:p>
        </w:tc>
        <w:tc>
          <w:tcPr>
            <w:tcW w:w="5816" w:type="dxa"/>
            <w:shd w:val="clear" w:color="auto" w:fill="auto"/>
          </w:tcPr>
          <w:p w:rsidR="009F6891" w:rsidRDefault="006958CC">
            <w:pPr>
              <w:pBdr>
                <w:top w:val="nil"/>
                <w:left w:val="nil"/>
                <w:bottom w:val="nil"/>
                <w:right w:val="nil"/>
                <w:between w:val="nil"/>
              </w:pBdr>
              <w:tabs>
                <w:tab w:val="left" w:pos="0"/>
              </w:tabs>
              <w:spacing w:before="120" w:after="120" w:line="240" w:lineRule="auto"/>
              <w:ind w:left="169"/>
              <w:rPr>
                <w:rFonts w:ascii="Arial" w:eastAsia="Arial" w:hAnsi="Arial" w:cs="Arial"/>
                <w:color w:val="000000"/>
                <w:sz w:val="24"/>
                <w:szCs w:val="24"/>
              </w:rPr>
            </w:pPr>
            <w:r>
              <w:rPr>
                <w:rFonts w:ascii="Arial" w:eastAsia="Arial" w:hAnsi="Arial" w:cs="Arial"/>
                <w:color w:val="000000"/>
                <w:sz w:val="24"/>
                <w:szCs w:val="24"/>
              </w:rPr>
              <w:t>a party which is Controller of the same Personal Data as the other Party and there is no element of joint control with regards to that Personal Data;</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"Indexation"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"Initial Period"</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initial term of this Contract specified in the Award Form;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"Insolvency Event"</w:t>
            </w:r>
          </w:p>
        </w:tc>
        <w:tc>
          <w:tcPr>
            <w:tcW w:w="5816" w:type="dxa"/>
            <w:shd w:val="clear" w:color="auto" w:fill="auto"/>
          </w:tcPr>
          <w:p w:rsidR="009F6891" w:rsidRDefault="006958CC">
            <w:pPr>
              <w:pBdr>
                <w:top w:val="nil"/>
                <w:left w:val="nil"/>
                <w:bottom w:val="nil"/>
                <w:right w:val="nil"/>
                <w:between w:val="nil"/>
              </w:pBdr>
              <w:spacing w:before="100" w:line="240" w:lineRule="auto"/>
              <w:ind w:left="179"/>
              <w:rPr>
                <w:rFonts w:ascii="Arial" w:eastAsia="Arial" w:hAnsi="Arial" w:cs="Arial"/>
                <w:color w:val="000000"/>
                <w:sz w:val="24"/>
                <w:szCs w:val="24"/>
              </w:rPr>
            </w:pPr>
            <w:r>
              <w:rPr>
                <w:rFonts w:ascii="Arial" w:eastAsia="Arial" w:hAnsi="Arial" w:cs="Arial"/>
                <w:color w:val="000000"/>
                <w:sz w:val="24"/>
                <w:szCs w:val="24"/>
              </w:rPr>
              <w:t>with respect to any person, means:</w:t>
            </w:r>
          </w:p>
          <w:p w:rsidR="009F6891" w:rsidRDefault="006958CC">
            <w:pPr>
              <w:numPr>
                <w:ilvl w:val="0"/>
                <w:numId w:val="22"/>
              </w:numPr>
              <w:pBdr>
                <w:top w:val="nil"/>
                <w:left w:val="nil"/>
                <w:bottom w:val="nil"/>
                <w:right w:val="nil"/>
                <w:between w:val="nil"/>
              </w:pBdr>
              <w:tabs>
                <w:tab w:val="left" w:pos="-973"/>
                <w:tab w:val="left" w:pos="0"/>
              </w:tabs>
              <w:spacing w:before="120" w:after="120" w:line="240" w:lineRule="auto"/>
              <w:rPr>
                <w:color w:val="000000"/>
              </w:rPr>
            </w:pPr>
            <w:r>
              <w:rPr>
                <w:rFonts w:ascii="Arial" w:eastAsia="Arial" w:hAnsi="Arial" w:cs="Arial"/>
                <w:color w:val="000000"/>
                <w:sz w:val="24"/>
                <w:szCs w:val="24"/>
              </w:rPr>
              <w:t>that person suspends, or threatens to suspend, payment of its debts, or is unable to pay its debts as they fall due or admits inability to pay its debts, or:</w:t>
            </w:r>
          </w:p>
          <w:p w:rsidR="009F6891" w:rsidRDefault="006958CC">
            <w:pPr>
              <w:numPr>
                <w:ilvl w:val="1"/>
                <w:numId w:val="1"/>
              </w:numPr>
              <w:pBdr>
                <w:top w:val="nil"/>
                <w:left w:val="nil"/>
                <w:bottom w:val="nil"/>
                <w:right w:val="nil"/>
                <w:between w:val="nil"/>
              </w:pBdr>
              <w:spacing w:before="100" w:line="240" w:lineRule="auto"/>
              <w:ind w:hanging="552"/>
              <w:rPr>
                <w:rFonts w:ascii="Arial" w:eastAsia="Arial" w:hAnsi="Arial" w:cs="Arial"/>
                <w:color w:val="000000"/>
                <w:sz w:val="24"/>
                <w:szCs w:val="24"/>
              </w:rPr>
            </w:pPr>
            <w:bookmarkStart w:id="4" w:name="_3znysh7" w:colFirst="0" w:colLast="0"/>
            <w:bookmarkEnd w:id="4"/>
            <w:r>
              <w:rPr>
                <w:rFonts w:ascii="Arial" w:eastAsia="Arial" w:hAnsi="Arial" w:cs="Arial"/>
                <w:color w:val="000000"/>
                <w:sz w:val="24"/>
                <w:szCs w:val="24"/>
              </w:rPr>
              <w:t xml:space="preserve">(being a company or an LLP) is deemed unable to pay its debts within the meaning of section 123 of the Insolvency Act 1986, or </w:t>
            </w:r>
          </w:p>
          <w:p w:rsidR="009F6891" w:rsidRDefault="006958CC">
            <w:pPr>
              <w:numPr>
                <w:ilvl w:val="1"/>
                <w:numId w:val="1"/>
              </w:numPr>
              <w:pBdr>
                <w:top w:val="nil"/>
                <w:left w:val="nil"/>
                <w:bottom w:val="nil"/>
                <w:right w:val="nil"/>
                <w:between w:val="nil"/>
              </w:pBdr>
              <w:spacing w:before="100" w:line="240" w:lineRule="auto"/>
              <w:ind w:hanging="552"/>
              <w:rPr>
                <w:rFonts w:ascii="Arial" w:eastAsia="Arial" w:hAnsi="Arial" w:cs="Arial"/>
                <w:color w:val="000000"/>
                <w:sz w:val="24"/>
                <w:szCs w:val="24"/>
              </w:rPr>
            </w:pPr>
            <w:bookmarkStart w:id="5" w:name="_2et92p0" w:colFirst="0" w:colLast="0"/>
            <w:bookmarkEnd w:id="5"/>
            <w:r>
              <w:rPr>
                <w:rFonts w:ascii="Arial" w:eastAsia="Arial" w:hAnsi="Arial" w:cs="Arial"/>
                <w:color w:val="000000"/>
                <w:sz w:val="24"/>
                <w:szCs w:val="24"/>
              </w:rPr>
              <w:t xml:space="preserve">(being a partnership) is deemed unable to pay its debts within the meaning of section 222 of the Insolvency Act 1986; </w:t>
            </w:r>
          </w:p>
          <w:p w:rsidR="009F6891" w:rsidRDefault="006958CC">
            <w:pPr>
              <w:numPr>
                <w:ilvl w:val="0"/>
                <w:numId w:val="22"/>
              </w:numPr>
              <w:pBdr>
                <w:top w:val="nil"/>
                <w:left w:val="nil"/>
                <w:bottom w:val="nil"/>
                <w:right w:val="nil"/>
                <w:between w:val="nil"/>
              </w:pBdr>
              <w:tabs>
                <w:tab w:val="left" w:pos="-973"/>
                <w:tab w:val="left" w:pos="0"/>
              </w:tabs>
              <w:spacing w:before="120" w:after="120" w:line="240" w:lineRule="auto"/>
              <w:rPr>
                <w:color w:val="000000"/>
              </w:rPr>
            </w:pPr>
            <w:bookmarkStart w:id="6" w:name="_tyjcwt" w:colFirst="0" w:colLast="0"/>
            <w:bookmarkEnd w:id="6"/>
            <w:r>
              <w:rPr>
                <w:rFonts w:ascii="Arial" w:eastAsia="Arial" w:hAnsi="Arial" w:cs="Arial"/>
                <w:color w:val="000000"/>
                <w:sz w:val="24"/>
                <w:szCs w:val="24"/>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an LLP or a partnership) for the sole purpose of a scheme for a solvent amalgamation of that person with one or more other companies or the solvent reconstruction of that person;</w:t>
            </w:r>
          </w:p>
          <w:p w:rsidR="009F6891" w:rsidRDefault="006958CC">
            <w:pPr>
              <w:numPr>
                <w:ilvl w:val="0"/>
                <w:numId w:val="22"/>
              </w:numPr>
              <w:pBdr>
                <w:top w:val="nil"/>
                <w:left w:val="nil"/>
                <w:bottom w:val="nil"/>
                <w:right w:val="nil"/>
                <w:between w:val="nil"/>
              </w:pBdr>
              <w:tabs>
                <w:tab w:val="left" w:pos="-973"/>
                <w:tab w:val="left" w:pos="0"/>
              </w:tabs>
              <w:spacing w:before="120" w:after="120" w:line="240" w:lineRule="auto"/>
              <w:rPr>
                <w:color w:val="000000"/>
              </w:rPr>
            </w:pPr>
            <w:bookmarkStart w:id="7" w:name="_3dy6vkm" w:colFirst="0" w:colLast="0"/>
            <w:bookmarkEnd w:id="7"/>
            <w:r>
              <w:rPr>
                <w:rFonts w:ascii="Arial" w:eastAsia="Arial" w:hAnsi="Arial" w:cs="Arial"/>
                <w:color w:val="000000"/>
                <w:sz w:val="24"/>
                <w:szCs w:val="24"/>
              </w:rPr>
              <w:t xml:space="preserve">another person becomes entitled to appoint a receiver over the assets of that person or a receiver is appointed over the assets of that person; </w:t>
            </w:r>
          </w:p>
          <w:p w:rsidR="009F6891" w:rsidRDefault="006958CC">
            <w:pPr>
              <w:numPr>
                <w:ilvl w:val="0"/>
                <w:numId w:val="22"/>
              </w:numPr>
              <w:pBdr>
                <w:top w:val="nil"/>
                <w:left w:val="nil"/>
                <w:bottom w:val="nil"/>
                <w:right w:val="nil"/>
                <w:between w:val="nil"/>
              </w:pBdr>
              <w:tabs>
                <w:tab w:val="left" w:pos="-973"/>
                <w:tab w:val="left" w:pos="0"/>
              </w:tabs>
              <w:spacing w:before="120" w:after="120" w:line="240" w:lineRule="auto"/>
              <w:rPr>
                <w:color w:val="000000"/>
              </w:rPr>
            </w:pPr>
            <w:r>
              <w:rPr>
                <w:rFonts w:ascii="Arial" w:eastAsia="Arial" w:hAnsi="Arial" w:cs="Arial"/>
                <w:color w:val="000000"/>
                <w:sz w:val="24"/>
                <w:szCs w:val="24"/>
              </w:rPr>
              <w:lastRenderedPageBreak/>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rsidR="009F6891" w:rsidRDefault="006958CC">
            <w:pPr>
              <w:numPr>
                <w:ilvl w:val="0"/>
                <w:numId w:val="22"/>
              </w:numPr>
              <w:pBdr>
                <w:top w:val="nil"/>
                <w:left w:val="nil"/>
                <w:bottom w:val="nil"/>
                <w:right w:val="nil"/>
                <w:between w:val="nil"/>
              </w:pBdr>
              <w:tabs>
                <w:tab w:val="left" w:pos="-973"/>
                <w:tab w:val="left" w:pos="0"/>
              </w:tabs>
              <w:spacing w:before="120" w:after="120" w:line="240" w:lineRule="auto"/>
              <w:rPr>
                <w:color w:val="000000"/>
              </w:rPr>
            </w:pPr>
            <w:r>
              <w:rPr>
                <w:rFonts w:ascii="Arial" w:eastAsia="Arial" w:hAnsi="Arial" w:cs="Arial"/>
                <w:color w:val="000000"/>
                <w:sz w:val="24"/>
                <w:szCs w:val="24"/>
              </w:rPr>
              <w:t>that person suspends or ceases, or threatens to suspend or cease, carrying on all or a substantial part of its business;</w:t>
            </w:r>
          </w:p>
          <w:p w:rsidR="009F6891" w:rsidRDefault="006958CC">
            <w:pPr>
              <w:numPr>
                <w:ilvl w:val="0"/>
                <w:numId w:val="22"/>
              </w:numPr>
              <w:pBdr>
                <w:top w:val="nil"/>
                <w:left w:val="nil"/>
                <w:bottom w:val="nil"/>
                <w:right w:val="nil"/>
                <w:between w:val="nil"/>
              </w:pBdr>
              <w:tabs>
                <w:tab w:val="left" w:pos="-973"/>
                <w:tab w:val="left" w:pos="0"/>
              </w:tabs>
              <w:spacing w:before="120" w:after="120" w:line="240" w:lineRule="auto"/>
              <w:rPr>
                <w:color w:val="000000"/>
              </w:rPr>
            </w:pPr>
            <w:r>
              <w:rPr>
                <w:rFonts w:ascii="Arial" w:eastAsia="Arial" w:hAnsi="Arial" w:cs="Arial"/>
                <w:color w:val="000000"/>
                <w:sz w:val="24"/>
                <w:szCs w:val="24"/>
              </w:rPr>
              <w:t>where that person is a company, an LLP or a partnership:</w:t>
            </w:r>
          </w:p>
          <w:p w:rsidR="009F6891" w:rsidRDefault="006958CC">
            <w:pPr>
              <w:numPr>
                <w:ilvl w:val="1"/>
                <w:numId w:val="2"/>
              </w:numPr>
              <w:pBdr>
                <w:top w:val="nil"/>
                <w:left w:val="nil"/>
                <w:bottom w:val="nil"/>
                <w:right w:val="nil"/>
                <w:between w:val="nil"/>
              </w:pBdr>
              <w:spacing w:before="100" w:line="240" w:lineRule="auto"/>
              <w:ind w:hanging="552"/>
              <w:rPr>
                <w:rFonts w:ascii="Arial" w:eastAsia="Arial" w:hAnsi="Arial" w:cs="Arial"/>
                <w:color w:val="000000"/>
                <w:sz w:val="24"/>
                <w:szCs w:val="24"/>
              </w:rPr>
            </w:pPr>
            <w:r>
              <w:rPr>
                <w:rFonts w:ascii="Arial" w:eastAsia="Arial" w:hAnsi="Arial" w:cs="Arial"/>
                <w:color w:val="000000"/>
                <w:sz w:val="24"/>
                <w:szCs w:val="24"/>
              </w:rP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w:t>
            </w:r>
          </w:p>
          <w:p w:rsidR="009F6891" w:rsidRDefault="006958CC">
            <w:pPr>
              <w:numPr>
                <w:ilvl w:val="1"/>
                <w:numId w:val="2"/>
              </w:numPr>
              <w:pBdr>
                <w:top w:val="nil"/>
                <w:left w:val="nil"/>
                <w:bottom w:val="nil"/>
                <w:right w:val="nil"/>
                <w:between w:val="nil"/>
              </w:pBdr>
              <w:spacing w:before="100" w:line="240" w:lineRule="auto"/>
              <w:ind w:hanging="552"/>
              <w:rPr>
                <w:rFonts w:ascii="Arial" w:eastAsia="Arial" w:hAnsi="Arial" w:cs="Arial"/>
                <w:color w:val="000000"/>
                <w:sz w:val="24"/>
                <w:szCs w:val="24"/>
              </w:rPr>
            </w:pPr>
            <w:r>
              <w:rPr>
                <w:rFonts w:ascii="Arial" w:eastAsia="Arial" w:hAnsi="Arial" w:cs="Arial"/>
                <w:color w:val="000000"/>
                <w:sz w:val="24"/>
                <w:szCs w:val="24"/>
              </w:rPr>
              <w:t xml:space="preserve">an application is made to court, or an order is made, for the appointment of an administrator, or if a notice of intention to appoint an administrator is filed at Court or given or if an administrator is appointed, over that person; </w:t>
            </w:r>
          </w:p>
          <w:p w:rsidR="009F6891" w:rsidRDefault="006958CC">
            <w:pPr>
              <w:numPr>
                <w:ilvl w:val="1"/>
                <w:numId w:val="2"/>
              </w:numPr>
              <w:pBdr>
                <w:top w:val="nil"/>
                <w:left w:val="nil"/>
                <w:bottom w:val="nil"/>
                <w:right w:val="nil"/>
                <w:between w:val="nil"/>
              </w:pBdr>
              <w:spacing w:before="100" w:line="240" w:lineRule="auto"/>
              <w:ind w:hanging="552"/>
              <w:rPr>
                <w:rFonts w:ascii="Arial" w:eastAsia="Arial" w:hAnsi="Arial" w:cs="Arial"/>
                <w:color w:val="000000"/>
                <w:sz w:val="24"/>
                <w:szCs w:val="24"/>
              </w:rPr>
            </w:pPr>
            <w:bookmarkStart w:id="8" w:name="_1t3h5sf" w:colFirst="0" w:colLast="0"/>
            <w:bookmarkEnd w:id="8"/>
            <w:r>
              <w:rPr>
                <w:rFonts w:ascii="Arial" w:eastAsia="Arial" w:hAnsi="Arial" w:cs="Arial"/>
                <w:color w:val="000000"/>
                <w:sz w:val="24"/>
                <w:szCs w:val="24"/>
              </w:rPr>
              <w:t>(being a company or an LLP) the holder of a qualifying floating charge over the assets of that person has become entitled to appoint or has appointed an administrative receiver; or</w:t>
            </w:r>
          </w:p>
          <w:p w:rsidR="009F6891" w:rsidRDefault="006958CC">
            <w:pPr>
              <w:numPr>
                <w:ilvl w:val="1"/>
                <w:numId w:val="2"/>
              </w:numPr>
              <w:pBdr>
                <w:top w:val="nil"/>
                <w:left w:val="nil"/>
                <w:bottom w:val="nil"/>
                <w:right w:val="nil"/>
                <w:between w:val="nil"/>
              </w:pBdr>
              <w:spacing w:before="100" w:line="240" w:lineRule="auto"/>
              <w:ind w:hanging="552"/>
              <w:rPr>
                <w:rFonts w:ascii="Arial" w:eastAsia="Arial" w:hAnsi="Arial" w:cs="Arial"/>
                <w:color w:val="000000"/>
                <w:sz w:val="24"/>
                <w:szCs w:val="24"/>
              </w:rPr>
            </w:pPr>
            <w:r>
              <w:rPr>
                <w:rFonts w:ascii="Arial" w:eastAsia="Arial" w:hAnsi="Arial" w:cs="Arial"/>
                <w:color w:val="000000"/>
                <w:sz w:val="24"/>
                <w:szCs w:val="24"/>
              </w:rPr>
              <w:t xml:space="preserve">(being a partnership) the holder of an agricultural floating charge over the assets of that person has become entitled to appoint or has appointed an agricultural receiver; or </w:t>
            </w:r>
          </w:p>
          <w:p w:rsidR="009F6891" w:rsidRDefault="006958CC">
            <w:pPr>
              <w:numPr>
                <w:ilvl w:val="0"/>
                <w:numId w:val="22"/>
              </w:numPr>
              <w:pBdr>
                <w:top w:val="nil"/>
                <w:left w:val="nil"/>
                <w:bottom w:val="nil"/>
                <w:right w:val="nil"/>
                <w:between w:val="nil"/>
              </w:pBdr>
              <w:tabs>
                <w:tab w:val="left" w:pos="-973"/>
                <w:tab w:val="left" w:pos="0"/>
              </w:tabs>
              <w:spacing w:before="120" w:after="120" w:line="240" w:lineRule="auto"/>
              <w:rPr>
                <w:color w:val="000000"/>
              </w:rPr>
            </w:pPr>
            <w:r>
              <w:rPr>
                <w:rFonts w:ascii="Arial" w:eastAsia="Arial" w:hAnsi="Arial" w:cs="Arial"/>
                <w:color w:val="000000"/>
                <w:sz w:val="24"/>
                <w:szCs w:val="24"/>
              </w:rPr>
              <w:t xml:space="preserve">any event occurs, or proceeding is taken, with respect to that person in any jurisdiction to which it is subject that has an </w:t>
            </w:r>
            <w:r>
              <w:rPr>
                <w:rFonts w:ascii="Arial" w:eastAsia="Arial" w:hAnsi="Arial" w:cs="Arial"/>
                <w:color w:val="000000"/>
                <w:sz w:val="24"/>
                <w:szCs w:val="24"/>
              </w:rPr>
              <w:lastRenderedPageBreak/>
              <w:t>effect equivalent or similar to any of the events mentioned above;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5816" w:type="dxa"/>
            <w:shd w:val="clear" w:color="auto" w:fill="auto"/>
          </w:tcPr>
          <w:p w:rsidR="009F6891" w:rsidRDefault="006958CC">
            <w:p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Contract Period to install the Goods in accordance with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5816" w:type="dxa"/>
            <w:shd w:val="clear" w:color="auto" w:fill="auto"/>
          </w:tcPr>
          <w:p w:rsidR="009F6891" w:rsidRDefault="006958CC">
            <w:pPr>
              <w:numPr>
                <w:ilvl w:val="0"/>
                <w:numId w:val="5"/>
              </w:numPr>
              <w:pBdr>
                <w:top w:val="nil"/>
                <w:left w:val="nil"/>
                <w:bottom w:val="nil"/>
                <w:right w:val="nil"/>
                <w:between w:val="nil"/>
              </w:pBdr>
              <w:spacing w:before="100" w:line="240" w:lineRule="auto"/>
              <w:rPr>
                <w:rFonts w:ascii="Arial" w:eastAsia="Arial" w:hAnsi="Arial" w:cs="Arial"/>
                <w:color w:val="000000"/>
                <w:sz w:val="24"/>
                <w:szCs w:val="24"/>
              </w:rPr>
            </w:pPr>
            <w:bookmarkStart w:id="9" w:name="_4d34og8" w:colFirst="0" w:colLast="0"/>
            <w:bookmarkEnd w:id="9"/>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9F6891" w:rsidRDefault="006958CC">
            <w:pPr>
              <w:numPr>
                <w:ilvl w:val="0"/>
                <w:numId w:val="5"/>
              </w:numPr>
              <w:pBdr>
                <w:top w:val="nil"/>
                <w:left w:val="nil"/>
                <w:bottom w:val="nil"/>
                <w:right w:val="nil"/>
                <w:between w:val="nil"/>
              </w:pBdr>
              <w:spacing w:before="100" w:line="240" w:lineRule="auto"/>
              <w:rPr>
                <w:color w:val="000000"/>
              </w:rPr>
            </w:pPr>
            <w:r>
              <w:rPr>
                <w:rFonts w:ascii="Arial" w:eastAsia="Arial" w:hAnsi="Arial" w:cs="Arial"/>
                <w:color w:val="000000"/>
                <w:sz w:val="24"/>
                <w:szCs w:val="24"/>
              </w:rPr>
              <w:t>applications for registration, and the right to apply for registration, for any of the rights listed at 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that are capable of being registered in any country or jurisdiction; and</w:t>
            </w:r>
          </w:p>
          <w:p w:rsidR="009F6891" w:rsidRDefault="006958CC">
            <w:pPr>
              <w:numPr>
                <w:ilvl w:val="0"/>
                <w:numId w:val="5"/>
              </w:numPr>
              <w:pBdr>
                <w:top w:val="nil"/>
                <w:left w:val="nil"/>
                <w:bottom w:val="nil"/>
                <w:right w:val="nil"/>
                <w:between w:val="nil"/>
              </w:pBdr>
              <w:spacing w:before="100" w:line="240" w:lineRule="auto"/>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9F6891">
        <w:tc>
          <w:tcPr>
            <w:tcW w:w="2263" w:type="dxa"/>
            <w:shd w:val="clear" w:color="auto" w:fill="auto"/>
          </w:tcPr>
          <w:p w:rsidR="009F6891" w:rsidRDefault="006958CC">
            <w:pPr>
              <w:pBdr>
                <w:top w:val="nil"/>
                <w:left w:val="nil"/>
                <w:bottom w:val="nil"/>
                <w:right w:val="nil"/>
                <w:between w:val="nil"/>
              </w:pBdr>
              <w:spacing w:before="100" w:line="240" w:lineRule="auto"/>
              <w:rPr>
                <w:rFonts w:ascii="Arial" w:eastAsia="Arial" w:hAnsi="Arial" w:cs="Arial"/>
                <w:b/>
                <w:color w:val="000000"/>
                <w:sz w:val="24"/>
                <w:szCs w:val="24"/>
              </w:rPr>
            </w:pPr>
            <w:r>
              <w:rPr>
                <w:rFonts w:ascii="Arial" w:eastAsia="Arial" w:hAnsi="Arial" w:cs="Arial"/>
                <w:b/>
                <w:color w:val="000000"/>
                <w:sz w:val="24"/>
                <w:szCs w:val="24"/>
              </w:rPr>
              <w:t>"IP Completion Day"</w:t>
            </w:r>
          </w:p>
        </w:tc>
        <w:tc>
          <w:tcPr>
            <w:tcW w:w="5816" w:type="dxa"/>
            <w:shd w:val="clear" w:color="auto" w:fill="auto"/>
          </w:tcPr>
          <w:p w:rsidR="009F6891" w:rsidRDefault="006958CC">
            <w:pPr>
              <w:pBdr>
                <w:top w:val="nil"/>
                <w:left w:val="nil"/>
                <w:bottom w:val="nil"/>
                <w:right w:val="nil"/>
                <w:between w:val="nil"/>
              </w:pBdr>
              <w:tabs>
                <w:tab w:val="left" w:pos="-36"/>
              </w:tabs>
              <w:spacing w:before="120" w:after="120" w:line="240" w:lineRule="auto"/>
              <w:ind w:left="27"/>
              <w:rPr>
                <w:rFonts w:ascii="Arial" w:eastAsia="Arial" w:hAnsi="Arial" w:cs="Arial"/>
                <w:color w:val="000000"/>
                <w:sz w:val="24"/>
                <w:szCs w:val="24"/>
              </w:rPr>
            </w:pPr>
            <w:r>
              <w:rPr>
                <w:rFonts w:ascii="Arial" w:eastAsia="Arial" w:hAnsi="Arial" w:cs="Arial"/>
                <w:color w:val="000000"/>
                <w:sz w:val="24"/>
                <w:szCs w:val="24"/>
              </w:rPr>
              <w:t>has the meaning given to it in the European Union (Withdrawal Agreement) Act 2020;</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"IPR Claim"</w:t>
            </w:r>
          </w:p>
        </w:tc>
        <w:tc>
          <w:tcPr>
            <w:tcW w:w="5816" w:type="dxa"/>
            <w:shd w:val="clear" w:color="auto" w:fill="auto"/>
          </w:tcPr>
          <w:p w:rsidR="009F6891" w:rsidRDefault="006958CC">
            <w:pPr>
              <w:pBdr>
                <w:top w:val="nil"/>
                <w:left w:val="nil"/>
                <w:bottom w:val="nil"/>
                <w:right w:val="nil"/>
                <w:between w:val="nil"/>
              </w:pBdr>
              <w:tabs>
                <w:tab w:val="left" w:pos="-36"/>
              </w:tabs>
              <w:spacing w:before="120" w:after="120" w:line="240" w:lineRule="auto"/>
              <w:ind w:left="27"/>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(excluding COTS Software where Part B of Schedule 36 (Intellectual Property Rights) is used), used to provide the Deliverables or otherwise provided and/or licensed by the Supplier (or to which the Supplier has provided access) to the Buyer in the fulfilment of its obligations under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"IR35"</w:t>
            </w:r>
          </w:p>
        </w:tc>
        <w:tc>
          <w:tcPr>
            <w:tcW w:w="5816" w:type="dxa"/>
            <w:shd w:val="clear" w:color="auto" w:fill="auto"/>
          </w:tcPr>
          <w:p w:rsidR="009F6891" w:rsidRDefault="006958CC">
            <w:pPr>
              <w:pBdr>
                <w:top w:val="nil"/>
                <w:left w:val="nil"/>
                <w:bottom w:val="nil"/>
                <w:right w:val="nil"/>
                <w:between w:val="nil"/>
              </w:pBdr>
              <w:tabs>
                <w:tab w:val="left" w:pos="-36"/>
              </w:tabs>
              <w:spacing w:before="120" w:after="120" w:line="240" w:lineRule="auto"/>
              <w:ind w:left="27"/>
              <w:rPr>
                <w:color w:val="000000"/>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t>
            </w:r>
            <w:r>
              <w:rPr>
                <w:rFonts w:ascii="Arial" w:eastAsia="Arial" w:hAnsi="Arial" w:cs="Arial"/>
                <w:color w:val="000000"/>
                <w:sz w:val="24"/>
                <w:szCs w:val="24"/>
              </w:rPr>
              <w:lastRenderedPageBreak/>
              <w:t xml:space="preserve">which can be found online at: </w:t>
            </w:r>
            <w:hyperlink r:id="rId7">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"Joint Controller Agreement"</w:t>
            </w:r>
          </w:p>
        </w:tc>
        <w:tc>
          <w:tcPr>
            <w:tcW w:w="5816" w:type="dxa"/>
            <w:shd w:val="clear" w:color="auto" w:fill="auto"/>
          </w:tcPr>
          <w:p w:rsidR="009F6891" w:rsidRDefault="006958CC">
            <w:pPr>
              <w:pBdr>
                <w:top w:val="nil"/>
                <w:left w:val="nil"/>
                <w:bottom w:val="nil"/>
                <w:right w:val="nil"/>
                <w:between w:val="nil"/>
              </w:pBdr>
              <w:tabs>
                <w:tab w:val="left" w:pos="-36"/>
              </w:tabs>
              <w:spacing w:before="120" w:after="120" w:line="240" w:lineRule="auto"/>
              <w:ind w:left="27"/>
              <w:rPr>
                <w:rFonts w:ascii="Arial" w:eastAsia="Arial" w:hAnsi="Arial" w:cs="Arial"/>
                <w:color w:val="000000"/>
                <w:sz w:val="24"/>
                <w:szCs w:val="24"/>
              </w:rPr>
            </w:pPr>
            <w:r>
              <w:rPr>
                <w:rFonts w:ascii="Arial" w:eastAsia="Arial" w:hAnsi="Arial" w:cs="Arial"/>
                <w:color w:val="000000"/>
                <w:sz w:val="24"/>
                <w:szCs w:val="24"/>
              </w:rPr>
              <w:t>the agreement (if any) entered into between the Buyer and the Supplier substantially in the form set out in Annex 2 of Schedule 20 (Processing Data);</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"Joint Control"</w:t>
            </w:r>
          </w:p>
        </w:tc>
        <w:tc>
          <w:tcPr>
            <w:tcW w:w="5816" w:type="dxa"/>
            <w:shd w:val="clear" w:color="auto" w:fill="auto"/>
          </w:tcPr>
          <w:p w:rsidR="009F6891" w:rsidRDefault="006958CC">
            <w:pPr>
              <w:pBdr>
                <w:top w:val="nil"/>
                <w:left w:val="nil"/>
                <w:bottom w:val="nil"/>
                <w:right w:val="nil"/>
                <w:between w:val="nil"/>
              </w:pBdr>
              <w:tabs>
                <w:tab w:val="left" w:pos="-36"/>
              </w:tabs>
              <w:spacing w:before="120" w:after="120" w:line="240" w:lineRule="auto"/>
              <w:ind w:left="27"/>
              <w:rPr>
                <w:rFonts w:ascii="Arial" w:eastAsia="Arial" w:hAnsi="Arial" w:cs="Arial"/>
                <w:color w:val="000000"/>
                <w:sz w:val="24"/>
                <w:szCs w:val="24"/>
              </w:rPr>
            </w:pPr>
            <w:r>
              <w:rPr>
                <w:rFonts w:ascii="Arial" w:eastAsia="Arial" w:hAnsi="Arial" w:cs="Arial"/>
                <w:color w:val="000000"/>
                <w:sz w:val="24"/>
                <w:szCs w:val="24"/>
              </w:rPr>
              <w:t>where two (2) or more Controllers jointly determine the purposes and means of Processing;</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5816" w:type="dxa"/>
            <w:shd w:val="clear" w:color="auto" w:fill="auto"/>
          </w:tcPr>
          <w:p w:rsidR="009F6891" w:rsidRDefault="006958CC">
            <w:pPr>
              <w:pBdr>
                <w:top w:val="nil"/>
                <w:left w:val="nil"/>
                <w:bottom w:val="nil"/>
                <w:right w:val="nil"/>
                <w:between w:val="nil"/>
              </w:pBdr>
              <w:tabs>
                <w:tab w:val="left" w:pos="-36"/>
              </w:tabs>
              <w:spacing w:before="120" w:after="120" w:line="240" w:lineRule="auto"/>
              <w:ind w:left="27"/>
              <w:rPr>
                <w:rFonts w:ascii="Arial" w:eastAsia="Arial" w:hAnsi="Arial" w:cs="Arial"/>
                <w:color w:val="000000"/>
                <w:sz w:val="24"/>
                <w:szCs w:val="24"/>
              </w:rPr>
            </w:pPr>
            <w:r>
              <w:rPr>
                <w:rFonts w:ascii="Arial" w:eastAsia="Arial" w:hAnsi="Arial" w:cs="Arial"/>
                <w:color w:val="000000"/>
                <w:sz w:val="24"/>
                <w:szCs w:val="24"/>
              </w:rPr>
              <w:t>has the meaning given in Article 26 of the UK GDPR, or EU GDPR, as the context requires;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"Key Staff"</w:t>
            </w:r>
          </w:p>
        </w:tc>
        <w:tc>
          <w:tcPr>
            <w:tcW w:w="5816" w:type="dxa"/>
            <w:shd w:val="clear" w:color="auto" w:fill="auto"/>
          </w:tcPr>
          <w:p w:rsidR="009F6891" w:rsidRDefault="006958CC">
            <w:pPr>
              <w:pBdr>
                <w:top w:val="nil"/>
                <w:left w:val="nil"/>
                <w:bottom w:val="nil"/>
                <w:right w:val="nil"/>
                <w:between w:val="nil"/>
              </w:pBdr>
              <w:tabs>
                <w:tab w:val="left" w:pos="-36"/>
              </w:tabs>
              <w:spacing w:before="120" w:after="120" w:line="240" w:lineRule="auto"/>
              <w:ind w:left="27"/>
              <w:rPr>
                <w:rFonts w:ascii="Arial" w:eastAsia="Arial" w:hAnsi="Arial" w:cs="Arial"/>
                <w:color w:val="000000"/>
                <w:sz w:val="24"/>
                <w:szCs w:val="24"/>
              </w:rPr>
            </w:pPr>
            <w:r>
              <w:rPr>
                <w:rFonts w:ascii="Arial" w:eastAsia="Arial" w:hAnsi="Arial" w:cs="Arial"/>
                <w:color w:val="000000"/>
                <w:sz w:val="24"/>
                <w:szCs w:val="24"/>
              </w:rPr>
              <w:t xml:space="preserve">the persons who the Supplier shall appoint to fill key roles in connection with the Services as listed in Annex 1 of Schedule 29 (Key Supplier Staff); </w:t>
            </w:r>
          </w:p>
        </w:tc>
      </w:tr>
      <w:tr w:rsidR="009F6891">
        <w:trPr>
          <w:trHeight w:val="357"/>
        </w:trPr>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"Key Sub-Contract"</w:t>
            </w:r>
          </w:p>
        </w:tc>
        <w:tc>
          <w:tcPr>
            <w:tcW w:w="5816" w:type="dxa"/>
            <w:shd w:val="clear" w:color="auto" w:fill="auto"/>
          </w:tcPr>
          <w:p w:rsidR="009F6891" w:rsidRDefault="006958CC">
            <w:pPr>
              <w:pBdr>
                <w:top w:val="nil"/>
                <w:left w:val="nil"/>
                <w:bottom w:val="nil"/>
                <w:right w:val="nil"/>
                <w:between w:val="nil"/>
              </w:pBdr>
              <w:tabs>
                <w:tab w:val="left" w:pos="-36"/>
              </w:tabs>
              <w:spacing w:before="120" w:after="120" w:line="240" w:lineRule="auto"/>
              <w:ind w:left="27"/>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9F6891">
        <w:trPr>
          <w:trHeight w:val="426"/>
        </w:trPr>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5816" w:type="dxa"/>
            <w:shd w:val="clear" w:color="auto" w:fill="auto"/>
          </w:tcPr>
          <w:p w:rsidR="009F6891" w:rsidRDefault="006958CC">
            <w:pPr>
              <w:pBdr>
                <w:top w:val="nil"/>
                <w:left w:val="nil"/>
                <w:bottom w:val="nil"/>
                <w:right w:val="nil"/>
                <w:between w:val="nil"/>
              </w:pBdr>
              <w:tabs>
                <w:tab w:val="left" w:pos="0"/>
              </w:tabs>
              <w:spacing w:before="120" w:after="120" w:line="240" w:lineRule="auto"/>
              <w:ind w:left="170" w:hanging="143"/>
              <w:rPr>
                <w:rFonts w:ascii="Arial" w:eastAsia="Arial" w:hAnsi="Arial" w:cs="Arial"/>
                <w:color w:val="000000"/>
                <w:sz w:val="24"/>
                <w:szCs w:val="24"/>
              </w:rPr>
            </w:pPr>
            <w:r>
              <w:rPr>
                <w:rFonts w:ascii="Arial" w:eastAsia="Arial" w:hAnsi="Arial" w:cs="Arial"/>
                <w:color w:val="000000"/>
                <w:sz w:val="24"/>
                <w:szCs w:val="24"/>
              </w:rPr>
              <w:t>any Subcontractor:</w:t>
            </w:r>
          </w:p>
          <w:p w:rsidR="009F6891" w:rsidRDefault="006958CC">
            <w:pPr>
              <w:numPr>
                <w:ilvl w:val="0"/>
                <w:numId w:val="7"/>
              </w:numPr>
              <w:pBdr>
                <w:top w:val="nil"/>
                <w:left w:val="nil"/>
                <w:bottom w:val="nil"/>
                <w:right w:val="nil"/>
                <w:between w:val="nil"/>
              </w:pBdr>
              <w:spacing w:before="100" w:line="240" w:lineRule="auto"/>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9F6891" w:rsidRDefault="006958CC">
            <w:pPr>
              <w:numPr>
                <w:ilvl w:val="0"/>
                <w:numId w:val="7"/>
              </w:numPr>
              <w:pBdr>
                <w:top w:val="nil"/>
                <w:left w:val="nil"/>
                <w:bottom w:val="nil"/>
                <w:right w:val="nil"/>
                <w:between w:val="nil"/>
              </w:pBdr>
              <w:spacing w:before="100" w:line="240" w:lineRule="auto"/>
              <w:rPr>
                <w:rFonts w:ascii="Arial" w:eastAsia="Arial" w:hAnsi="Arial" w:cs="Arial"/>
                <w:color w:val="000000"/>
                <w:sz w:val="24"/>
                <w:szCs w:val="24"/>
              </w:rPr>
            </w:pPr>
            <w:r>
              <w:rPr>
                <w:rFonts w:ascii="Arial" w:eastAsia="Arial" w:hAnsi="Arial" w:cs="Arial"/>
                <w:color w:val="000000"/>
                <w:sz w:val="24"/>
                <w:szCs w:val="24"/>
              </w:rPr>
              <w:t>which, in the opinion of the Buyer performs (or would perform if appointed) a critical role in the provision of all or any part of the Deliverables; and/or</w:t>
            </w:r>
          </w:p>
          <w:p w:rsidR="009F6891" w:rsidRDefault="006958CC">
            <w:pPr>
              <w:numPr>
                <w:ilvl w:val="0"/>
                <w:numId w:val="7"/>
              </w:numPr>
              <w:pBdr>
                <w:top w:val="nil"/>
                <w:left w:val="nil"/>
                <w:bottom w:val="nil"/>
                <w:right w:val="nil"/>
                <w:between w:val="nil"/>
              </w:pBdr>
              <w:spacing w:before="100" w:line="240" w:lineRule="auto"/>
              <w:rPr>
                <w:rFonts w:ascii="Arial" w:eastAsia="Arial" w:hAnsi="Arial" w:cs="Arial"/>
                <w:color w:val="000000"/>
                <w:sz w:val="24"/>
                <w:szCs w:val="24"/>
              </w:rPr>
            </w:pPr>
            <w:r>
              <w:rPr>
                <w:rFonts w:ascii="Arial" w:eastAsia="Arial" w:hAnsi="Arial" w:cs="Arial"/>
                <w:color w:val="000000"/>
                <w:sz w:val="24"/>
                <w:szCs w:val="24"/>
              </w:rPr>
              <w:t>with a Sub-Contract with this Contract value which at the time of appointment exceeds (or would exceed if appointed) 10% of the aggregate Charges forecast to be payable under this Contract,</w:t>
            </w:r>
          </w:p>
          <w:p w:rsidR="009F6891" w:rsidRDefault="006958CC">
            <w:pPr>
              <w:pBdr>
                <w:top w:val="nil"/>
                <w:left w:val="nil"/>
                <w:bottom w:val="nil"/>
                <w:right w:val="nil"/>
                <w:between w:val="nil"/>
              </w:pBdr>
              <w:tabs>
                <w:tab w:val="left" w:pos="-720"/>
                <w:tab w:val="left" w:pos="0"/>
              </w:tabs>
              <w:spacing w:before="120" w:after="120" w:line="240" w:lineRule="auto"/>
              <w:ind w:left="144"/>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the Award Form;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"Know-How"</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Effective Date;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"Law"</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any law, subordinate legislation within the meaning of Section 21(1) of the Interpretation Act 1978, bye-law, right within the meaning of the European </w:t>
            </w:r>
            <w:r>
              <w:rPr>
                <w:rFonts w:ascii="Arial" w:eastAsia="Arial" w:hAnsi="Arial" w:cs="Arial"/>
                <w:color w:val="000000"/>
                <w:sz w:val="24"/>
                <w:szCs w:val="24"/>
              </w:rPr>
              <w:lastRenderedPageBreak/>
              <w:t>Union (Withdrawal) Act 2018 as amended by European Union (Withdrawal Agreement) Act 2020, regulation, order, regulatory policy, mandatory guidance or code of practice, judgment of a relevant court of law, or directives or requirements of any regulatory body with which the Supplier is bound to comply;</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"Law Enforcement Processing"</w:t>
            </w:r>
          </w:p>
        </w:tc>
        <w:tc>
          <w:tcPr>
            <w:tcW w:w="5816" w:type="dxa"/>
            <w:shd w:val="clear" w:color="auto" w:fill="auto"/>
          </w:tcPr>
          <w:p w:rsidR="009F6891" w:rsidRDefault="006958CC">
            <w:pPr>
              <w:pBdr>
                <w:top w:val="nil"/>
                <w:left w:val="nil"/>
                <w:bottom w:val="nil"/>
                <w:right w:val="nil"/>
                <w:between w:val="nil"/>
              </w:pBdr>
              <w:tabs>
                <w:tab w:val="left" w:pos="5"/>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processing under Part 3 of the DPA 2018;</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"Losses"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color w:val="000000"/>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color w:val="000000"/>
              </w:rPr>
            </w:pPr>
            <w:r>
              <w:rPr>
                <w:rFonts w:ascii="Arial" w:eastAsia="Arial" w:hAnsi="Arial" w:cs="Arial"/>
                <w:b/>
                <w:color w:val="000000"/>
                <w:sz w:val="24"/>
                <w:szCs w:val="24"/>
              </w:rPr>
              <w:t>"Material Default"</w:t>
            </w:r>
          </w:p>
        </w:tc>
        <w:tc>
          <w:tcPr>
            <w:tcW w:w="5816" w:type="dxa"/>
            <w:shd w:val="clear" w:color="auto" w:fill="auto"/>
          </w:tcPr>
          <w:p w:rsidR="009F6891" w:rsidRDefault="006958CC">
            <w:pPr>
              <w:pBdr>
                <w:top w:val="nil"/>
                <w:left w:val="nil"/>
                <w:bottom w:val="nil"/>
                <w:right w:val="nil"/>
                <w:between w:val="nil"/>
              </w:pBdr>
              <w:tabs>
                <w:tab w:val="left" w:pos="1623"/>
              </w:tabs>
              <w:spacing w:before="100" w:line="240" w:lineRule="auto"/>
              <w:ind w:left="180"/>
              <w:rPr>
                <w:color w:val="000000"/>
              </w:rPr>
            </w:pPr>
            <w:r>
              <w:rPr>
                <w:rFonts w:ascii="Arial" w:eastAsia="Arial" w:hAnsi="Arial" w:cs="Arial"/>
                <w:color w:val="000000"/>
                <w:sz w:val="24"/>
                <w:szCs w:val="24"/>
              </w:rPr>
              <w:t>a single serious Default or a number of Defaults or repeated Defaults (whether of the same or different obligations and regardless of whether such Defaults are remedied)</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shall be the person identified in the Award Form;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"Milestone"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"Milestone Date"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"Month"</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color w:val="000000"/>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contributions required by the Social Security Contributions and Benefits Act 1992 and made in </w:t>
            </w:r>
            <w:r>
              <w:rPr>
                <w:rFonts w:ascii="Arial" w:eastAsia="Arial" w:hAnsi="Arial" w:cs="Arial"/>
                <w:color w:val="000000"/>
                <w:sz w:val="24"/>
                <w:szCs w:val="24"/>
              </w:rPr>
              <w:lastRenderedPageBreak/>
              <w:t>accordance with the Social Security (Contributions) Regulations 2001 (SI 2001/1004);</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"New IPR"</w:t>
            </w:r>
          </w:p>
        </w:tc>
        <w:tc>
          <w:tcPr>
            <w:tcW w:w="5816" w:type="dxa"/>
            <w:shd w:val="clear" w:color="auto" w:fill="auto"/>
          </w:tcPr>
          <w:p w:rsidR="009F6891" w:rsidRDefault="006958CC">
            <w:pPr>
              <w:numPr>
                <w:ilvl w:val="0"/>
                <w:numId w:val="10"/>
              </w:numPr>
              <w:pBdr>
                <w:top w:val="nil"/>
                <w:left w:val="nil"/>
                <w:bottom w:val="nil"/>
                <w:right w:val="nil"/>
                <w:between w:val="nil"/>
              </w:pBdr>
              <w:spacing w:before="100" w:line="240" w:lineRule="auto"/>
              <w:ind w:hanging="541"/>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this Contract and updates and amendments of these items including database schema; and/or</w:t>
            </w:r>
          </w:p>
          <w:p w:rsidR="009F6891" w:rsidRDefault="006958CC">
            <w:pPr>
              <w:numPr>
                <w:ilvl w:val="0"/>
                <w:numId w:val="10"/>
              </w:numPr>
              <w:pBdr>
                <w:top w:val="nil"/>
                <w:left w:val="nil"/>
                <w:bottom w:val="nil"/>
                <w:right w:val="nil"/>
                <w:between w:val="nil"/>
              </w:pBdr>
              <w:spacing w:before="100" w:line="240" w:lineRule="auto"/>
              <w:ind w:hanging="541"/>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this Contract and all updates and amendments to the same; </w:t>
            </w:r>
          </w:p>
          <w:p w:rsidR="009F6891" w:rsidRDefault="006958CC">
            <w:pPr>
              <w:pBdr>
                <w:top w:val="nil"/>
                <w:left w:val="nil"/>
                <w:bottom w:val="nil"/>
                <w:right w:val="nil"/>
                <w:between w:val="nil"/>
              </w:pBdr>
              <w:tabs>
                <w:tab w:val="left" w:pos="-179"/>
              </w:tabs>
              <w:spacing w:before="120" w:after="120" w:line="240" w:lineRule="auto"/>
              <w:ind w:left="170"/>
              <w:rPr>
                <w:color w:val="000000"/>
              </w:rPr>
            </w:pPr>
            <w:r>
              <w:rPr>
                <w:rFonts w:ascii="Arial" w:eastAsia="Arial" w:hAnsi="Arial" w:cs="Arial"/>
                <w:color w:val="000000"/>
                <w:sz w:val="24"/>
                <w:szCs w:val="24"/>
              </w:rPr>
              <w:t xml:space="preserve">but shall not include the Supplier’s Existing IPR </w:t>
            </w:r>
            <w:r w:rsidRPr="00F5737C">
              <w:rPr>
                <w:rFonts w:ascii="Arial" w:eastAsia="Arial" w:hAnsi="Arial" w:cs="Arial"/>
                <w:color w:val="000000"/>
                <w:sz w:val="24"/>
                <w:szCs w:val="24"/>
              </w:rPr>
              <w:t>or Specially Written Softwar</w:t>
            </w:r>
            <w:r w:rsidR="00F5737C" w:rsidRPr="00F5737C">
              <w:rPr>
                <w:rFonts w:ascii="Arial" w:eastAsia="Arial" w:hAnsi="Arial" w:cs="Arial"/>
                <w:color w:val="000000"/>
                <w:sz w:val="24"/>
                <w:szCs w:val="24"/>
              </w:rPr>
              <w:t>e</w:t>
            </w:r>
            <w:r>
              <w:rPr>
                <w:rFonts w:ascii="Arial" w:eastAsia="Arial" w:hAnsi="Arial" w:cs="Arial"/>
                <w:color w:val="000000"/>
                <w:sz w:val="24"/>
                <w:szCs w:val="24"/>
              </w:rPr>
              <w:t xml:space="preserve">;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"New IPR Item"</w:t>
            </w:r>
          </w:p>
        </w:tc>
        <w:tc>
          <w:tcPr>
            <w:tcW w:w="5816" w:type="dxa"/>
            <w:shd w:val="clear" w:color="auto" w:fill="auto"/>
          </w:tcPr>
          <w:p w:rsidR="009F6891" w:rsidRDefault="006958CC">
            <w:pPr>
              <w:pBdr>
                <w:top w:val="nil"/>
                <w:left w:val="nil"/>
                <w:bottom w:val="nil"/>
                <w:right w:val="nil"/>
                <w:between w:val="nil"/>
              </w:pBdr>
              <w:tabs>
                <w:tab w:val="left" w:pos="0"/>
              </w:tabs>
              <w:spacing w:before="120" w:after="120" w:line="240" w:lineRule="auto"/>
              <w:ind w:left="169"/>
              <w:rPr>
                <w:rFonts w:ascii="Arial" w:eastAsia="Arial" w:hAnsi="Arial" w:cs="Arial"/>
                <w:color w:val="000000"/>
                <w:sz w:val="24"/>
                <w:szCs w:val="24"/>
              </w:rPr>
            </w:pPr>
            <w:r>
              <w:rPr>
                <w:rFonts w:ascii="Arial" w:eastAsia="Arial" w:hAnsi="Arial" w:cs="Arial"/>
                <w:color w:val="000000"/>
                <w:sz w:val="24"/>
                <w:szCs w:val="24"/>
              </w:rPr>
              <w:t>means a deliverable, document, product or other item within which New IPR subsists;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"Notifiable Default"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means:</w:t>
            </w:r>
          </w:p>
          <w:p w:rsidR="009F6891" w:rsidRDefault="006958CC">
            <w:pPr>
              <w:numPr>
                <w:ilvl w:val="0"/>
                <w:numId w:val="3"/>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the Supplier commits a Material Default; and/or</w:t>
            </w:r>
          </w:p>
          <w:p w:rsidR="009F6891" w:rsidRDefault="006958CC">
            <w:pPr>
              <w:numPr>
                <w:ilvl w:val="0"/>
                <w:numId w:val="3"/>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the performance of the Supplier is likely to cause or causes a Critical Service Level Failure;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"Object Code"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software and/or data in machine-readable complied object code form;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"Occasion of Tax Non –Compliance"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where: </w:t>
            </w:r>
          </w:p>
          <w:p w:rsidR="009F6891" w:rsidRDefault="006958CC">
            <w:pPr>
              <w:numPr>
                <w:ilvl w:val="0"/>
                <w:numId w:val="12"/>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rsidR="009F6891" w:rsidRDefault="006958CC">
            <w:pPr>
              <w:numPr>
                <w:ilvl w:val="4"/>
                <w:numId w:val="14"/>
              </w:numPr>
              <w:pBdr>
                <w:top w:val="nil"/>
                <w:left w:val="nil"/>
                <w:bottom w:val="nil"/>
                <w:right w:val="nil"/>
                <w:between w:val="nil"/>
              </w:pBdr>
              <w:tabs>
                <w:tab w:val="left" w:pos="40"/>
                <w:tab w:val="left" w:pos="1954"/>
              </w:tabs>
              <w:spacing w:before="120" w:after="120" w:line="240" w:lineRule="auto"/>
              <w:ind w:left="1448" w:hanging="709"/>
              <w:rPr>
                <w:rFonts w:ascii="Arial" w:eastAsia="Arial" w:hAnsi="Arial" w:cs="Arial"/>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9F6891" w:rsidRDefault="006958CC">
            <w:pPr>
              <w:numPr>
                <w:ilvl w:val="4"/>
                <w:numId w:val="14"/>
              </w:numPr>
              <w:pBdr>
                <w:top w:val="nil"/>
                <w:left w:val="nil"/>
                <w:bottom w:val="nil"/>
                <w:right w:val="nil"/>
                <w:between w:val="nil"/>
              </w:pBdr>
              <w:tabs>
                <w:tab w:val="left" w:pos="40"/>
                <w:tab w:val="left" w:pos="1954"/>
              </w:tabs>
              <w:spacing w:before="120" w:after="120" w:line="240" w:lineRule="auto"/>
              <w:ind w:left="1448" w:hanging="709"/>
              <w:rPr>
                <w:rFonts w:ascii="Arial" w:eastAsia="Arial" w:hAnsi="Arial" w:cs="Arial"/>
              </w:rPr>
            </w:pPr>
            <w:r>
              <w:rPr>
                <w:rFonts w:ascii="Arial" w:eastAsia="Arial" w:hAnsi="Arial" w:cs="Arial"/>
                <w:color w:val="000000"/>
                <w:sz w:val="24"/>
                <w:szCs w:val="24"/>
              </w:rPr>
              <w:t xml:space="preserve">the failure of an avoidance scheme which the Supplier was involved in, and which was, or should have been, notified to a Relevant Tax Authority under the DOTAS or any equivalent or </w:t>
            </w:r>
            <w:r>
              <w:rPr>
                <w:rFonts w:ascii="Arial" w:eastAsia="Arial" w:hAnsi="Arial" w:cs="Arial"/>
                <w:color w:val="000000"/>
                <w:sz w:val="24"/>
                <w:szCs w:val="24"/>
              </w:rPr>
              <w:lastRenderedPageBreak/>
              <w:t>similar regime in any jurisdiction; and/or</w:t>
            </w:r>
          </w:p>
          <w:p w:rsidR="009F6891" w:rsidRDefault="006958CC">
            <w:pPr>
              <w:numPr>
                <w:ilvl w:val="0"/>
                <w:numId w:val="12"/>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"Open Book Data"</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this Contract, including details and all assumptions relating to:</w:t>
            </w:r>
          </w:p>
          <w:p w:rsidR="009F6891" w:rsidRDefault="006958CC">
            <w:pPr>
              <w:numPr>
                <w:ilvl w:val="0"/>
                <w:numId w:val="38"/>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9F6891" w:rsidRDefault="006958CC">
            <w:pPr>
              <w:numPr>
                <w:ilvl w:val="0"/>
                <w:numId w:val="38"/>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operating expenditure relating to the provision of the Deliverables including an analysis showing:</w:t>
            </w:r>
          </w:p>
          <w:p w:rsidR="009F6891" w:rsidRDefault="006958CC">
            <w:pPr>
              <w:numPr>
                <w:ilvl w:val="4"/>
                <w:numId w:val="40"/>
              </w:numPr>
              <w:pBdr>
                <w:top w:val="nil"/>
                <w:left w:val="nil"/>
                <w:bottom w:val="nil"/>
                <w:right w:val="nil"/>
                <w:between w:val="nil"/>
              </w:pBdr>
              <w:tabs>
                <w:tab w:val="left" w:pos="40"/>
                <w:tab w:val="left" w:pos="1954"/>
              </w:tabs>
              <w:spacing w:before="120" w:after="120" w:line="240" w:lineRule="auto"/>
              <w:ind w:left="1448" w:hanging="709"/>
              <w:rPr>
                <w:rFonts w:ascii="Arial" w:eastAsia="Arial" w:hAnsi="Arial" w:cs="Arial"/>
              </w:rPr>
            </w:pPr>
            <w:r>
              <w:rPr>
                <w:rFonts w:ascii="Arial" w:eastAsia="Arial" w:hAnsi="Arial" w:cs="Arial"/>
                <w:color w:val="000000"/>
                <w:sz w:val="24"/>
                <w:szCs w:val="24"/>
              </w:rPr>
              <w:t>the unit costs and quantity of Goods and any other consumables and bought-in Deliverables;</w:t>
            </w:r>
          </w:p>
          <w:p w:rsidR="009F6891" w:rsidRDefault="006958CC">
            <w:pPr>
              <w:numPr>
                <w:ilvl w:val="4"/>
                <w:numId w:val="14"/>
              </w:numPr>
              <w:pBdr>
                <w:top w:val="nil"/>
                <w:left w:val="nil"/>
                <w:bottom w:val="nil"/>
                <w:right w:val="nil"/>
                <w:between w:val="nil"/>
              </w:pBdr>
              <w:tabs>
                <w:tab w:val="left" w:pos="40"/>
                <w:tab w:val="left" w:pos="1954"/>
              </w:tabs>
              <w:spacing w:before="120" w:after="120" w:line="240" w:lineRule="auto"/>
              <w:ind w:left="1448" w:hanging="709"/>
              <w:rPr>
                <w:rFonts w:ascii="Arial" w:eastAsia="Arial" w:hAnsi="Arial" w:cs="Arial"/>
              </w:rPr>
            </w:pPr>
            <w:r>
              <w:rPr>
                <w:rFonts w:ascii="Arial" w:eastAsia="Arial" w:hAnsi="Arial" w:cs="Arial"/>
                <w:color w:val="000000"/>
                <w:sz w:val="24"/>
                <w:szCs w:val="24"/>
              </w:rPr>
              <w:t>manpower resources broken down into the number and grade/role of all Supplier Staff (free of any contingency) together with a list of agreed rates against each manpower grade;</w:t>
            </w:r>
          </w:p>
          <w:p w:rsidR="009F6891" w:rsidRDefault="006958CC">
            <w:pPr>
              <w:numPr>
                <w:ilvl w:val="4"/>
                <w:numId w:val="14"/>
              </w:numPr>
              <w:pBdr>
                <w:top w:val="nil"/>
                <w:left w:val="nil"/>
                <w:bottom w:val="nil"/>
                <w:right w:val="nil"/>
                <w:between w:val="nil"/>
              </w:pBdr>
              <w:tabs>
                <w:tab w:val="left" w:pos="40"/>
                <w:tab w:val="left" w:pos="1954"/>
              </w:tabs>
              <w:spacing w:before="120" w:after="120" w:line="240" w:lineRule="auto"/>
              <w:ind w:left="1448" w:hanging="709"/>
              <w:rPr>
                <w:rFonts w:ascii="Arial" w:eastAsia="Arial" w:hAnsi="Arial" w:cs="Arial"/>
              </w:rPr>
            </w:pPr>
            <w:r>
              <w:rPr>
                <w:rFonts w:ascii="Arial" w:eastAsia="Arial" w:hAnsi="Arial" w:cs="Arial"/>
                <w:color w:val="000000"/>
                <w:sz w:val="24"/>
                <w:szCs w:val="24"/>
              </w:rPr>
              <w:t>a list of Costs underpinning those rates for each manpower grade, being the agreed rate less the Supplier Profit Margin; and</w:t>
            </w:r>
          </w:p>
          <w:p w:rsidR="009F6891" w:rsidRDefault="006958CC">
            <w:pPr>
              <w:numPr>
                <w:ilvl w:val="4"/>
                <w:numId w:val="14"/>
              </w:numPr>
              <w:pBdr>
                <w:top w:val="nil"/>
                <w:left w:val="nil"/>
                <w:bottom w:val="nil"/>
                <w:right w:val="nil"/>
                <w:between w:val="nil"/>
              </w:pBdr>
              <w:tabs>
                <w:tab w:val="left" w:pos="40"/>
                <w:tab w:val="left" w:pos="1954"/>
              </w:tabs>
              <w:spacing w:before="120" w:after="120" w:line="240" w:lineRule="auto"/>
              <w:ind w:left="1448" w:hanging="709"/>
              <w:rPr>
                <w:rFonts w:ascii="Arial" w:eastAsia="Arial" w:hAnsi="Arial" w:cs="Arial"/>
              </w:rPr>
            </w:pPr>
            <w:r>
              <w:rPr>
                <w:rFonts w:ascii="Arial" w:eastAsia="Arial" w:hAnsi="Arial" w:cs="Arial"/>
                <w:color w:val="000000"/>
                <w:sz w:val="24"/>
                <w:szCs w:val="24"/>
              </w:rPr>
              <w:t xml:space="preserve">Reimbursable Expenses, if allowed under the Award Form; </w:t>
            </w:r>
          </w:p>
          <w:p w:rsidR="009F6891" w:rsidRDefault="006958CC">
            <w:pPr>
              <w:numPr>
                <w:ilvl w:val="0"/>
                <w:numId w:val="38"/>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 xml:space="preserve">Overheads; </w:t>
            </w:r>
          </w:p>
          <w:p w:rsidR="009F6891" w:rsidRDefault="006958CC">
            <w:pPr>
              <w:numPr>
                <w:ilvl w:val="0"/>
                <w:numId w:val="38"/>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 xml:space="preserve">all interest, expenses and any other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financing costs incurred in relation to the provision of the Deliverables;</w:t>
            </w:r>
          </w:p>
          <w:p w:rsidR="009F6891" w:rsidRDefault="006958CC">
            <w:pPr>
              <w:numPr>
                <w:ilvl w:val="0"/>
                <w:numId w:val="38"/>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lastRenderedPageBreak/>
              <w:t>the Supplier Profit achieved over the Contract Period and on an annual basis;</w:t>
            </w:r>
          </w:p>
          <w:p w:rsidR="009F6891" w:rsidRDefault="006958CC">
            <w:pPr>
              <w:numPr>
                <w:ilvl w:val="0"/>
                <w:numId w:val="38"/>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9F6891" w:rsidRDefault="006958CC">
            <w:pPr>
              <w:numPr>
                <w:ilvl w:val="0"/>
                <w:numId w:val="38"/>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9F6891" w:rsidRDefault="006958CC">
            <w:pPr>
              <w:numPr>
                <w:ilvl w:val="0"/>
                <w:numId w:val="38"/>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the actual Costs profile for each Service Period;</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"Open Licence"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color w:val="000000"/>
              </w:rPr>
            </w:pPr>
            <w:r>
              <w:rPr>
                <w:rFonts w:ascii="Arial" w:eastAsia="Arial" w:hAnsi="Arial" w:cs="Arial"/>
                <w:color w:val="000000"/>
                <w:sz w:val="24"/>
                <w:szCs w:val="24"/>
              </w:rPr>
              <w:t xml:space="preserve">means any material that is published for use, with rights to access, copy, modify and publish, by any person for free, under a generally recognised open licence including Open Government Licence as set out at </w:t>
            </w:r>
            <w:hyperlink r:id="rId8">
              <w:r>
                <w:rPr>
                  <w:rFonts w:ascii="Arial" w:eastAsia="Arial" w:hAnsi="Arial" w:cs="Arial"/>
                  <w:color w:val="0000FF"/>
                  <w:sz w:val="24"/>
                  <w:szCs w:val="24"/>
                  <w:u w:val="single"/>
                </w:rPr>
                <w:t>http://www.nationalarchives.gov.uk/doc/open-government-licence/version/3/</w:t>
              </w:r>
            </w:hyperlink>
            <w:r>
              <w:rPr>
                <w:rFonts w:ascii="Arial" w:eastAsia="Arial" w:hAnsi="Arial" w:cs="Arial"/>
                <w:color w:val="000000"/>
                <w:sz w:val="24"/>
                <w:szCs w:val="24"/>
              </w:rPr>
              <w:t xml:space="preserve"> and the Open Standards Principles documented at </w:t>
            </w:r>
            <w:hyperlink r:id="rId9">
              <w:r>
                <w:rPr>
                  <w:rFonts w:ascii="Arial" w:eastAsia="Arial" w:hAnsi="Arial" w:cs="Arial"/>
                  <w:color w:val="0000FF"/>
                  <w:sz w:val="24"/>
                  <w:szCs w:val="24"/>
                  <w:u w:val="single"/>
                </w:rPr>
                <w:t>https://www.gov.uk/government/publications/open-standards-principles/open-standards-principles</w:t>
              </w:r>
            </w:hyperlink>
            <w:r>
              <w:rPr>
                <w:rFonts w:ascii="Arial" w:eastAsia="Arial" w:hAnsi="Arial" w:cs="Arial"/>
                <w:color w:val="0000FF"/>
                <w:sz w:val="24"/>
                <w:szCs w:val="24"/>
                <w:u w:val="single"/>
              </w:rPr>
              <w:t xml:space="preserve">, </w:t>
            </w:r>
            <w:r>
              <w:rPr>
                <w:rFonts w:ascii="Arial" w:eastAsia="Arial" w:hAnsi="Arial" w:cs="Arial"/>
                <w:color w:val="000000"/>
                <w:sz w:val="24"/>
                <w:szCs w:val="24"/>
              </w:rPr>
              <w:t xml:space="preserve"> and includes the Open Source publication of Software;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"Open Source"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computer Software that is released on the internet for use by any person, such release usually being made under a recognised open source licence and stating that it is released as open source;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"Open Licence Publication Material"</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means items created pursuant to this Contract which the Buyer may wish to publish as Open Licence which are supplied in a format suitable for publication under Open Licence;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"Overhead"</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color w:val="000000"/>
              </w:rPr>
            </w:pPr>
            <w:r>
              <w:rPr>
                <w:rFonts w:ascii="Arial" w:eastAsia="Arial" w:hAnsi="Arial" w:cs="Arial"/>
                <w:color w:val="000000"/>
                <w:sz w:val="24"/>
                <w:szCs w:val="24"/>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the cost to the Supplier or the Key Subcontractor </w:t>
            </w:r>
            <w:r>
              <w:rPr>
                <w:rFonts w:ascii="Arial" w:eastAsia="Arial" w:hAnsi="Arial" w:cs="Arial"/>
                <w:color w:val="000000"/>
                <w:sz w:val="24"/>
                <w:szCs w:val="24"/>
              </w:rPr>
              <w:lastRenderedPageBreak/>
              <w:t>(as the context requires), calculated per Work Day, of engaging the Supplier Staff, including: of the definition of "Costs";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"Parent Undertaking"</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"Parliament"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"Party"</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color w:val="000000"/>
              </w:rPr>
            </w:pPr>
            <w:r>
              <w:rPr>
                <w:rFonts w:ascii="Arial" w:eastAsia="Arial" w:hAnsi="Arial" w:cs="Arial"/>
                <w:color w:val="000000"/>
                <w:sz w:val="24"/>
                <w:szCs w:val="24"/>
              </w:rPr>
              <w:t>the Buyer or the Supplier and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"Personal Data"</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color w:val="000000"/>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0">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"Processing"</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"Processor"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the Processor and/or of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"Progress Meeting"</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"Progress Report"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"Prohibited Acts"</w:t>
            </w:r>
          </w:p>
        </w:tc>
        <w:tc>
          <w:tcPr>
            <w:tcW w:w="5816" w:type="dxa"/>
            <w:shd w:val="clear" w:color="auto" w:fill="auto"/>
          </w:tcPr>
          <w:p w:rsidR="009F6891" w:rsidRDefault="006958CC">
            <w:pPr>
              <w:numPr>
                <w:ilvl w:val="0"/>
                <w:numId w:val="42"/>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 xml:space="preserve">to directly or indirectly offer, promise or give any person working for or engaged by the </w:t>
            </w:r>
            <w:r>
              <w:rPr>
                <w:rFonts w:ascii="Arial" w:eastAsia="Arial" w:hAnsi="Arial" w:cs="Arial"/>
                <w:color w:val="000000"/>
                <w:sz w:val="24"/>
                <w:szCs w:val="24"/>
              </w:rPr>
              <w:lastRenderedPageBreak/>
              <w:t>Buyer or any other public body a financial or other advantage to:</w:t>
            </w:r>
          </w:p>
          <w:p w:rsidR="009F6891" w:rsidRDefault="006958CC">
            <w:pPr>
              <w:numPr>
                <w:ilvl w:val="4"/>
                <w:numId w:val="8"/>
              </w:numPr>
              <w:pBdr>
                <w:top w:val="nil"/>
                <w:left w:val="nil"/>
                <w:bottom w:val="nil"/>
                <w:right w:val="nil"/>
                <w:between w:val="nil"/>
              </w:pBdr>
              <w:tabs>
                <w:tab w:val="left" w:pos="40"/>
                <w:tab w:val="left" w:pos="1954"/>
              </w:tabs>
              <w:spacing w:before="120" w:after="120" w:line="240" w:lineRule="auto"/>
              <w:ind w:left="1448" w:hanging="709"/>
              <w:rPr>
                <w:rFonts w:ascii="Arial" w:eastAsia="Arial" w:hAnsi="Arial" w:cs="Arial"/>
              </w:rPr>
            </w:pPr>
            <w:r>
              <w:rPr>
                <w:rFonts w:ascii="Arial" w:eastAsia="Arial" w:hAnsi="Arial" w:cs="Arial"/>
                <w:color w:val="000000"/>
                <w:sz w:val="24"/>
                <w:szCs w:val="24"/>
              </w:rPr>
              <w:t>induce that person to perform improperly a relevant function or activity; or</w:t>
            </w:r>
          </w:p>
          <w:p w:rsidR="009F6891" w:rsidRDefault="006958CC">
            <w:pPr>
              <w:numPr>
                <w:ilvl w:val="4"/>
                <w:numId w:val="8"/>
              </w:numPr>
              <w:pBdr>
                <w:top w:val="nil"/>
                <w:left w:val="nil"/>
                <w:bottom w:val="nil"/>
                <w:right w:val="nil"/>
                <w:between w:val="nil"/>
              </w:pBdr>
              <w:tabs>
                <w:tab w:val="left" w:pos="40"/>
                <w:tab w:val="left" w:pos="1954"/>
              </w:tabs>
              <w:spacing w:before="120" w:after="120" w:line="240" w:lineRule="auto"/>
              <w:ind w:left="1448" w:hanging="709"/>
              <w:rPr>
                <w:rFonts w:ascii="Arial" w:eastAsia="Arial" w:hAnsi="Arial" w:cs="Arial"/>
              </w:rPr>
            </w:pPr>
            <w:r>
              <w:rPr>
                <w:rFonts w:ascii="Arial" w:eastAsia="Arial" w:hAnsi="Arial" w:cs="Arial"/>
                <w:color w:val="000000"/>
                <w:sz w:val="24"/>
                <w:szCs w:val="24"/>
              </w:rPr>
              <w:t xml:space="preserve">reward that person for improper performance of a relevant function or activity; </w:t>
            </w:r>
          </w:p>
          <w:p w:rsidR="009F6891" w:rsidRDefault="006958CC">
            <w:pPr>
              <w:numPr>
                <w:ilvl w:val="0"/>
                <w:numId w:val="42"/>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this Contract; or</w:t>
            </w:r>
          </w:p>
          <w:p w:rsidR="009F6891" w:rsidRDefault="006958CC">
            <w:pPr>
              <w:numPr>
                <w:ilvl w:val="0"/>
                <w:numId w:val="42"/>
              </w:numPr>
              <w:pBdr>
                <w:top w:val="nil"/>
                <w:left w:val="nil"/>
                <w:bottom w:val="nil"/>
                <w:right w:val="nil"/>
                <w:between w:val="nil"/>
              </w:pBdr>
              <w:tabs>
                <w:tab w:val="left" w:pos="-718"/>
              </w:tabs>
              <w:spacing w:before="120" w:after="120" w:line="240" w:lineRule="auto"/>
              <w:rPr>
                <w:rFonts w:ascii="Arial" w:eastAsia="Arial" w:hAnsi="Arial" w:cs="Arial"/>
                <w:color w:val="000000"/>
              </w:rPr>
            </w:pPr>
            <w:bookmarkStart w:id="10" w:name="_2s8eyo1" w:colFirst="0" w:colLast="0"/>
            <w:bookmarkEnd w:id="10"/>
            <w:r>
              <w:rPr>
                <w:rFonts w:ascii="Arial" w:eastAsia="Arial" w:hAnsi="Arial" w:cs="Arial"/>
                <w:color w:val="000000"/>
                <w:sz w:val="24"/>
                <w:szCs w:val="24"/>
              </w:rPr>
              <w:t>committing any offence:</w:t>
            </w:r>
          </w:p>
          <w:p w:rsidR="009F6891" w:rsidRDefault="006958CC">
            <w:pPr>
              <w:numPr>
                <w:ilvl w:val="4"/>
                <w:numId w:val="23"/>
              </w:numPr>
              <w:pBdr>
                <w:top w:val="nil"/>
                <w:left w:val="nil"/>
                <w:bottom w:val="nil"/>
                <w:right w:val="nil"/>
                <w:between w:val="nil"/>
              </w:pBdr>
              <w:tabs>
                <w:tab w:val="left" w:pos="40"/>
                <w:tab w:val="left" w:pos="1954"/>
              </w:tabs>
              <w:spacing w:before="120" w:after="120" w:line="240" w:lineRule="auto"/>
              <w:ind w:left="1448" w:hanging="709"/>
              <w:rPr>
                <w:rFonts w:ascii="Arial" w:eastAsia="Arial" w:hAnsi="Arial" w:cs="Arial"/>
              </w:rPr>
            </w:pPr>
            <w:r>
              <w:rPr>
                <w:rFonts w:ascii="Arial" w:eastAsia="Arial" w:hAnsi="Arial" w:cs="Arial"/>
                <w:color w:val="000000"/>
                <w:sz w:val="24"/>
                <w:szCs w:val="24"/>
              </w:rPr>
              <w:t>under the Bribery Act 2010 (or any legislation repealed or revoked by such Act); or</w:t>
            </w:r>
          </w:p>
          <w:p w:rsidR="009F6891" w:rsidRDefault="006958CC">
            <w:pPr>
              <w:numPr>
                <w:ilvl w:val="4"/>
                <w:numId w:val="23"/>
              </w:numPr>
              <w:pBdr>
                <w:top w:val="nil"/>
                <w:left w:val="nil"/>
                <w:bottom w:val="nil"/>
                <w:right w:val="nil"/>
                <w:between w:val="nil"/>
              </w:pBdr>
              <w:tabs>
                <w:tab w:val="left" w:pos="40"/>
                <w:tab w:val="left" w:pos="1954"/>
              </w:tabs>
              <w:spacing w:before="120" w:after="120" w:line="240" w:lineRule="auto"/>
              <w:ind w:left="1448" w:hanging="709"/>
              <w:rPr>
                <w:rFonts w:ascii="Arial" w:eastAsia="Arial" w:hAnsi="Arial" w:cs="Arial"/>
              </w:rPr>
            </w:pPr>
            <w:r>
              <w:rPr>
                <w:rFonts w:ascii="Arial" w:eastAsia="Arial" w:hAnsi="Arial" w:cs="Arial"/>
                <w:color w:val="000000"/>
                <w:sz w:val="24"/>
                <w:szCs w:val="24"/>
              </w:rPr>
              <w:t>under legislation or common law concerning fraudulent acts; or</w:t>
            </w:r>
          </w:p>
          <w:p w:rsidR="009F6891" w:rsidRDefault="006958CC">
            <w:pPr>
              <w:numPr>
                <w:ilvl w:val="4"/>
                <w:numId w:val="23"/>
              </w:numPr>
              <w:pBdr>
                <w:top w:val="nil"/>
                <w:left w:val="nil"/>
                <w:bottom w:val="nil"/>
                <w:right w:val="nil"/>
                <w:between w:val="nil"/>
              </w:pBdr>
              <w:tabs>
                <w:tab w:val="left" w:pos="40"/>
                <w:tab w:val="left" w:pos="1954"/>
              </w:tabs>
              <w:spacing w:before="120" w:after="120" w:line="240" w:lineRule="auto"/>
              <w:ind w:left="1448" w:hanging="709"/>
              <w:rPr>
                <w:rFonts w:ascii="Arial" w:eastAsia="Arial" w:hAnsi="Arial" w:cs="Arial"/>
              </w:rPr>
            </w:pPr>
            <w:r>
              <w:rPr>
                <w:rFonts w:ascii="Arial" w:eastAsia="Arial" w:hAnsi="Arial" w:cs="Arial"/>
                <w:color w:val="000000"/>
                <w:sz w:val="24"/>
                <w:szCs w:val="24"/>
              </w:rPr>
              <w:t xml:space="preserve">defrauding, attempting to defraud or conspiring to defraud the Buyer or other public body; or </w:t>
            </w:r>
          </w:p>
          <w:p w:rsidR="009F6891" w:rsidRDefault="006958CC">
            <w:pPr>
              <w:numPr>
                <w:ilvl w:val="0"/>
                <w:numId w:val="42"/>
              </w:numPr>
              <w:pBdr>
                <w:top w:val="nil"/>
                <w:left w:val="nil"/>
                <w:bottom w:val="nil"/>
                <w:right w:val="nil"/>
                <w:between w:val="nil"/>
              </w:pBdr>
              <w:tabs>
                <w:tab w:val="left" w:pos="-718"/>
              </w:tabs>
              <w:spacing w:before="120" w:after="120" w:line="240" w:lineRule="auto"/>
              <w:rPr>
                <w:color w:val="000000"/>
              </w:rPr>
            </w:pPr>
            <w:r>
              <w:rPr>
                <w:rFonts w:ascii="Arial" w:eastAsia="Arial" w:hAnsi="Arial" w:cs="Arial"/>
                <w:color w:val="000000"/>
                <w:sz w:val="24"/>
                <w:szCs w:val="24"/>
              </w:rPr>
              <w:t>any activity, practice or conduct which would constitute one of the offences listed under committing any offence: above if such activity, practice or conduct had been carried out in the UK;</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color w:val="000000"/>
              </w:rPr>
            </w:pPr>
            <w:bookmarkStart w:id="11" w:name="_17dp8vu" w:colFirst="0" w:colLast="0"/>
            <w:bookmarkEnd w:id="11"/>
            <w:r>
              <w:rPr>
                <w:rFonts w:ascii="Arial" w:eastAsia="Arial" w:hAnsi="Arial" w:cs="Arial"/>
                <w:color w:val="000000"/>
                <w:sz w:val="24"/>
                <w:szCs w:val="24"/>
              </w:rPr>
              <w:t>technical and organisational measures designed to ensure compliance with obligations of the Parties arising under Data Protection Legislation</w:t>
            </w:r>
            <w:r>
              <w:rPr>
                <w:color w:val="000000"/>
                <w:sz w:val="20"/>
                <w:szCs w:val="20"/>
              </w:rPr>
              <w:t xml:space="preserve"> </w:t>
            </w:r>
            <w:r>
              <w:rPr>
                <w:rFonts w:ascii="Arial" w:eastAsia="Arial" w:hAnsi="Arial" w:cs="Arial"/>
                <w:color w:val="000000"/>
                <w:sz w:val="24"/>
                <w:szCs w:val="24"/>
              </w:rPr>
              <w:t>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16 (Security);</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"Public Sector Body "</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means a formally established organisation that is (at least in part) publicly funded to deliver a public or government service;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"Recall"</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a request by the Supplier to return Goods to the Supplier or the manufacturer after the discovery of </w:t>
            </w:r>
            <w:r>
              <w:rPr>
                <w:rFonts w:ascii="Arial" w:eastAsia="Arial" w:hAnsi="Arial" w:cs="Arial"/>
                <w:color w:val="000000"/>
                <w:sz w:val="24"/>
                <w:szCs w:val="24"/>
              </w:rPr>
              <w:lastRenderedPageBreak/>
              <w:t>safety issues or defects (including defects in the IPR rights) that might endanger health or hinder performance;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"Recipient Party"</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Schedule 25 (Rectification Plan) which shall include:</w:t>
            </w:r>
          </w:p>
          <w:p w:rsidR="009F6891" w:rsidRDefault="006958CC">
            <w:pPr>
              <w:numPr>
                <w:ilvl w:val="0"/>
                <w:numId w:val="24"/>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 xml:space="preserve">full details of the Notifiable Default that has occurred, including a root cause analysis; </w:t>
            </w:r>
          </w:p>
          <w:p w:rsidR="009F6891" w:rsidRDefault="006958CC">
            <w:pPr>
              <w:numPr>
                <w:ilvl w:val="0"/>
                <w:numId w:val="24"/>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the actual or anticipated effect of the Notifiable Default; and</w:t>
            </w:r>
          </w:p>
          <w:p w:rsidR="009F6891" w:rsidRDefault="006958CC">
            <w:pPr>
              <w:numPr>
                <w:ilvl w:val="0"/>
                <w:numId w:val="24"/>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the process set out in Clause 11;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"Regulations"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9F6891" w:rsidRDefault="006958CC">
            <w:pPr>
              <w:numPr>
                <w:ilvl w:val="0"/>
                <w:numId w:val="26"/>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9F6891" w:rsidRDefault="006958CC">
            <w:pPr>
              <w:numPr>
                <w:ilvl w:val="0"/>
                <w:numId w:val="26"/>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"Relevant   Requirements"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"Reminder Notice"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color w:val="000000"/>
              </w:rPr>
            </w:pPr>
            <w:r>
              <w:rPr>
                <w:rFonts w:ascii="Arial" w:eastAsia="Arial" w:hAnsi="Arial" w:cs="Arial"/>
                <w:color w:val="000000"/>
                <w:sz w:val="24"/>
                <w:szCs w:val="24"/>
              </w:rPr>
              <w:t xml:space="preserve">a notice sent in accordance with Clause 14.6.1 given by the Supplier to the Buyer providing notification that payment has not been received on time;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color w:val="000000"/>
              </w:rPr>
            </w:pPr>
            <w:r>
              <w:rPr>
                <w:rFonts w:ascii="Arial" w:eastAsia="Arial" w:hAnsi="Arial" w:cs="Arial"/>
                <w:color w:val="000000"/>
                <w:sz w:val="24"/>
                <w:szCs w:val="24"/>
              </w:rPr>
              <w:t>any deliverables which are substantially similar to any of the Deliverables and which the Buyer receives in substitution for any of the Deliverables, whether those goods are provided by the Buyer internally and/or by any third party;</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 xml:space="preserve">"Request </w:t>
            </w:r>
            <w:proofErr w:type="gramStart"/>
            <w:r>
              <w:rPr>
                <w:rFonts w:ascii="Arial" w:eastAsia="Arial" w:hAnsi="Arial" w:cs="Arial"/>
                <w:b/>
                <w:color w:val="000000"/>
                <w:sz w:val="24"/>
                <w:szCs w:val="24"/>
              </w:rPr>
              <w:t>For</w:t>
            </w:r>
            <w:proofErr w:type="gramEnd"/>
            <w:r>
              <w:rPr>
                <w:rFonts w:ascii="Arial" w:eastAsia="Arial" w:hAnsi="Arial" w:cs="Arial"/>
                <w:b/>
                <w:color w:val="000000"/>
                <w:sz w:val="24"/>
                <w:szCs w:val="24"/>
              </w:rPr>
              <w:t xml:space="preserve"> Information"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this Contract for the provision of the Deliverables or an apparent request for such information under the FOIA or the EIRs;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"Required Action"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means the action the Buyer will take and what Deliverables it will control during the Step-In Process;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the insurances required by Schedule 22 (Insurance Requirements);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"Schedules"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any attachment to this Contract which contains important information specific to each aspect of buying and selling;</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"Security Management Plan"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Schedule 16 (Security) (if applicable);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"Security Policy"</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Buyer's security policy, referred to in the Award Form (if used), in force as at the Effective Date (a copy of which has been supplied to the Supplier), as updated from time to time and notified to the Supplier;</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"Service Credits"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Schedule 10 (Service Levels) being payable by the Supplier to the Buyer in respect of any failure by the Supplier to meet one or more Service Levels;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"Service Levels"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this Contract (which, where Schedule 10 (Service Levels) is used in this Contract, are specified in the Annex to Part A of such Schedule);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"Service Period"</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"Services"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Schedule 2 (Specification) and in relation to a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"Sites"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rsidR="009F6891" w:rsidRDefault="006958CC">
            <w:pPr>
              <w:numPr>
                <w:ilvl w:val="0"/>
                <w:numId w:val="28"/>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the Deliverables are (or are to be) provided; or</w:t>
            </w:r>
          </w:p>
          <w:p w:rsidR="009F6891" w:rsidRDefault="006958CC">
            <w:pPr>
              <w:numPr>
                <w:ilvl w:val="0"/>
                <w:numId w:val="28"/>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the Supplier manages, organises or otherwise directs the provision or the use of the Deliverables;</w:t>
            </w:r>
          </w:p>
          <w:p w:rsidR="009F6891" w:rsidRDefault="006958CC">
            <w:pPr>
              <w:numPr>
                <w:ilvl w:val="0"/>
                <w:numId w:val="28"/>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those premises at which any Supplier Equipment or any part of the Supplier System is located (where ICT Services are being provided);</w:t>
            </w:r>
          </w:p>
        </w:tc>
      </w:tr>
      <w:tr w:rsidR="009F6891">
        <w:trPr>
          <w:trHeight w:val="945"/>
        </w:trPr>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"SME"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w:t>
            </w:r>
            <w:r>
              <w:rPr>
                <w:rFonts w:ascii="Arial" w:eastAsia="Arial" w:hAnsi="Arial" w:cs="Arial"/>
                <w:color w:val="000000"/>
                <w:sz w:val="24"/>
                <w:szCs w:val="24"/>
              </w:rPr>
              <w:lastRenderedPageBreak/>
              <w:t>concerning the definition of micro, small and medium enterprises;</w:t>
            </w:r>
          </w:p>
        </w:tc>
      </w:tr>
      <w:tr w:rsidR="009F6891">
        <w:trPr>
          <w:trHeight w:val="945"/>
        </w:trPr>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"Social Value"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additional social benefits that can be achieved in the delivery of this Contract set out in Schedule 2 (Specification) and either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Schedule 10 (Service Levels) (where used) or (ii) Part C of Schedule 26 (Sustainability) (where Schedule 10 (Service Levels) is not used);</w:t>
            </w:r>
          </w:p>
        </w:tc>
      </w:tr>
      <w:tr w:rsidR="009F6891">
        <w:trPr>
          <w:trHeight w:val="945"/>
        </w:trPr>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"Social Value KPIs"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Social Value priorities set out in Schedule 2 (Specification) and either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Schedule 10 (Service Levels) (where used) or (ii) Part C of Schedule 26 (Sustainability) (where Schedule 10 (Service Levels) is not used;</w:t>
            </w:r>
          </w:p>
        </w:tc>
      </w:tr>
      <w:tr w:rsidR="009F6891">
        <w:trPr>
          <w:trHeight w:val="945"/>
        </w:trPr>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"Social Value Report"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report the Supplier is required to provide to the Buyer pursuant to Paragraph 1 of Part C of Schedule 26 (Sustainability) where Schedule 10 (Service Levels) is not used;</w:t>
            </w:r>
          </w:p>
        </w:tc>
      </w:tr>
      <w:tr w:rsidR="009F6891">
        <w:trPr>
          <w:trHeight w:val="945"/>
        </w:trPr>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"Software"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any software including Specially Written Software, COTS Software and software that is not COTS Software;</w:t>
            </w:r>
          </w:p>
        </w:tc>
      </w:tr>
      <w:tr w:rsidR="009F6891">
        <w:trPr>
          <w:trHeight w:val="945"/>
        </w:trPr>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Schedule 36 (Intellectual Property Rights);</w:t>
            </w:r>
          </w:p>
        </w:tc>
      </w:tr>
      <w:tr w:rsidR="009F6891">
        <w:trPr>
          <w:trHeight w:val="945"/>
        </w:trPr>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"Source Code"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9F6891">
        <w:trPr>
          <w:trHeight w:val="945"/>
        </w:trPr>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"Special Terms"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any additional terms and conditions set out in the Award Form incorporated into this Contract;</w:t>
            </w:r>
          </w:p>
        </w:tc>
      </w:tr>
      <w:tr w:rsidR="009F6891">
        <w:trPr>
          <w:trHeight w:val="945"/>
        </w:trPr>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w:t>
            </w:r>
            <w:r>
              <w:rPr>
                <w:rFonts w:ascii="Arial" w:eastAsia="Arial" w:hAnsi="Arial" w:cs="Arial"/>
                <w:color w:val="000000"/>
                <w:sz w:val="24"/>
                <w:szCs w:val="24"/>
              </w:rPr>
              <w:lastRenderedPageBreak/>
              <w:t>avoidance of doubt Specially Written Software does not constitute New IPR;</w:t>
            </w:r>
          </w:p>
        </w:tc>
      </w:tr>
      <w:tr w:rsidR="009F6891">
        <w:trPr>
          <w:trHeight w:val="945"/>
        </w:trPr>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"Specific Change in Law"</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Effective Date;</w:t>
            </w:r>
          </w:p>
        </w:tc>
      </w:tr>
      <w:tr w:rsidR="009F6891">
        <w:trPr>
          <w:trHeight w:val="945"/>
        </w:trPr>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"Specification"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specification set out in Schedule 2 (Specification);</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"Standards"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any:</w:t>
            </w:r>
          </w:p>
          <w:p w:rsidR="009F6891" w:rsidRDefault="006958CC">
            <w:pPr>
              <w:numPr>
                <w:ilvl w:val="0"/>
                <w:numId w:val="30"/>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9F6891" w:rsidRDefault="006958CC">
            <w:pPr>
              <w:numPr>
                <w:ilvl w:val="0"/>
                <w:numId w:val="30"/>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standards detailed in the specification in Schedule 2 (Specification);</w:t>
            </w:r>
          </w:p>
          <w:p w:rsidR="009F6891" w:rsidRDefault="006958CC">
            <w:pPr>
              <w:numPr>
                <w:ilvl w:val="0"/>
                <w:numId w:val="30"/>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standards agreed between the Parties from time to time;</w:t>
            </w:r>
          </w:p>
          <w:p w:rsidR="009F6891" w:rsidRDefault="006958CC">
            <w:pPr>
              <w:numPr>
                <w:ilvl w:val="0"/>
                <w:numId w:val="30"/>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relevant Government codes of practice and guidance applicable from time to time;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"Start Date"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date specified on the Award Form;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"Step-In Process"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process set out in Clause 13;</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"Step-In Trigger Event"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means:</w:t>
            </w:r>
          </w:p>
          <w:p w:rsidR="009F6891" w:rsidRDefault="006958CC">
            <w:pPr>
              <w:numPr>
                <w:ilvl w:val="0"/>
                <w:numId w:val="32"/>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the Supplier's level of performance constituting a Critical Service Level Failure;</w:t>
            </w:r>
          </w:p>
          <w:p w:rsidR="009F6891" w:rsidRDefault="006958CC">
            <w:pPr>
              <w:numPr>
                <w:ilvl w:val="0"/>
                <w:numId w:val="32"/>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the Supplier committing a Material Default which is irremediable;</w:t>
            </w:r>
          </w:p>
          <w:p w:rsidR="009F6891" w:rsidRDefault="006958CC">
            <w:pPr>
              <w:numPr>
                <w:ilvl w:val="0"/>
                <w:numId w:val="32"/>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where a right of termination is expressly reserved in this Contract;</w:t>
            </w:r>
          </w:p>
          <w:p w:rsidR="009F6891" w:rsidRDefault="006958CC">
            <w:pPr>
              <w:numPr>
                <w:ilvl w:val="0"/>
                <w:numId w:val="32"/>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an Insolvency Event occurring in respect of the Supplier or any Guarantor;</w:t>
            </w:r>
          </w:p>
          <w:p w:rsidR="009F6891" w:rsidRDefault="006958CC">
            <w:pPr>
              <w:numPr>
                <w:ilvl w:val="0"/>
                <w:numId w:val="32"/>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lastRenderedPageBreak/>
              <w:t>a Default by the Supplier that is materially preventing or materially delaying the provision of the Deliverables or any material part of them;</w:t>
            </w:r>
          </w:p>
          <w:p w:rsidR="009F6891" w:rsidRDefault="006958CC">
            <w:pPr>
              <w:numPr>
                <w:ilvl w:val="0"/>
                <w:numId w:val="32"/>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the Buyer considers that the circumstances constitute an emergency despite the Supplier not being in breach of its obligations under this agreement;</w:t>
            </w:r>
          </w:p>
          <w:p w:rsidR="009F6891" w:rsidRDefault="006958CC">
            <w:pPr>
              <w:numPr>
                <w:ilvl w:val="0"/>
                <w:numId w:val="32"/>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the Buyer being advised by a regulatory body that the exercise by the Buyer of its rights under Clause 13 is necessary;</w:t>
            </w:r>
          </w:p>
          <w:p w:rsidR="009F6891" w:rsidRDefault="006958CC">
            <w:pPr>
              <w:numPr>
                <w:ilvl w:val="0"/>
                <w:numId w:val="32"/>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the existence of a serious risk to the health or safety of persons, property or the environment in connection with the Deliverables; and/or</w:t>
            </w:r>
          </w:p>
          <w:p w:rsidR="009F6891" w:rsidRDefault="006958CC">
            <w:pPr>
              <w:numPr>
                <w:ilvl w:val="0"/>
                <w:numId w:val="32"/>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 xml:space="preserve">a need by the Buyer to </w:t>
            </w:r>
            <w:proofErr w:type="gramStart"/>
            <w:r>
              <w:rPr>
                <w:rFonts w:ascii="Arial" w:eastAsia="Arial" w:hAnsi="Arial" w:cs="Arial"/>
                <w:color w:val="000000"/>
                <w:sz w:val="24"/>
                <w:szCs w:val="24"/>
              </w:rPr>
              <w:t>take action</w:t>
            </w:r>
            <w:proofErr w:type="gramEnd"/>
            <w:r>
              <w:rPr>
                <w:rFonts w:ascii="Arial" w:eastAsia="Arial" w:hAnsi="Arial" w:cs="Arial"/>
                <w:color w:val="000000"/>
                <w:sz w:val="24"/>
                <w:szCs w:val="24"/>
              </w:rPr>
              <w:t xml:space="preserve"> to discharge a statutory duty;</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"Step-Out Plan"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means the Supplier’s plan that sets out how the Supplier will resume the provision of the Deliverables and perform all its obligations under this Contract following the completion of the Step-In Process;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"Storage Media"</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"Sub-Contract"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this Contract, pursuant to which a third party:</w:t>
            </w:r>
          </w:p>
          <w:p w:rsidR="009F6891" w:rsidRDefault="006958CC">
            <w:pPr>
              <w:numPr>
                <w:ilvl w:val="0"/>
                <w:numId w:val="34"/>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provides the Deliverables (or any part of them);</w:t>
            </w:r>
          </w:p>
          <w:p w:rsidR="009F6891" w:rsidRDefault="006958CC">
            <w:pPr>
              <w:numPr>
                <w:ilvl w:val="0"/>
                <w:numId w:val="34"/>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provides facilities or services necessary for the provision of the Deliverables (or any part of them); and/or</w:t>
            </w:r>
          </w:p>
          <w:p w:rsidR="009F6891" w:rsidRDefault="006958CC">
            <w:pPr>
              <w:numPr>
                <w:ilvl w:val="0"/>
                <w:numId w:val="34"/>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is responsible for the management, direction or control of the provision of the Deliverables (or any part of them);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"Subcontractor"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the Processor related to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"Subsidiary Undertaking"</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"Supplier"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person, firm or company identified in the Award Form;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"Supplier Assets"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this Contract but excluding the Buyer Assets;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Award Form, or later defined in a Contract;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5816" w:type="dxa"/>
            <w:shd w:val="clear" w:color="auto" w:fill="auto"/>
          </w:tcPr>
          <w:p w:rsidR="009F6891" w:rsidRDefault="006958CC">
            <w:pPr>
              <w:pBdr>
                <w:top w:val="nil"/>
                <w:left w:val="nil"/>
                <w:bottom w:val="nil"/>
                <w:right w:val="nil"/>
                <w:between w:val="nil"/>
              </w:pBdr>
              <w:tabs>
                <w:tab w:val="left" w:pos="142"/>
              </w:tabs>
              <w:spacing w:before="120" w:after="120" w:line="240" w:lineRule="auto"/>
              <w:ind w:left="178"/>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"Supplier Existing IPR"</w:t>
            </w:r>
          </w:p>
        </w:tc>
        <w:tc>
          <w:tcPr>
            <w:tcW w:w="5816" w:type="dxa"/>
            <w:shd w:val="clear" w:color="auto" w:fill="auto"/>
          </w:tcPr>
          <w:p w:rsidR="009F6891" w:rsidRDefault="006958CC">
            <w:pPr>
              <w:pBdr>
                <w:top w:val="nil"/>
                <w:left w:val="nil"/>
                <w:bottom w:val="nil"/>
                <w:right w:val="nil"/>
                <w:between w:val="nil"/>
              </w:pBdr>
              <w:tabs>
                <w:tab w:val="left" w:pos="0"/>
              </w:tabs>
              <w:spacing w:before="120" w:after="120" w:line="240" w:lineRule="auto"/>
              <w:ind w:left="169"/>
              <w:rPr>
                <w:rFonts w:ascii="Arial" w:eastAsia="Arial" w:hAnsi="Arial" w:cs="Arial"/>
                <w:color w:val="000000"/>
                <w:sz w:val="24"/>
                <w:szCs w:val="24"/>
              </w:rPr>
            </w:pPr>
            <w:r>
              <w:rPr>
                <w:rFonts w:ascii="Arial" w:eastAsia="Arial" w:hAnsi="Arial" w:cs="Arial"/>
                <w:color w:val="000000"/>
                <w:sz w:val="24"/>
                <w:szCs w:val="24"/>
              </w:rPr>
              <w:t>any and all IPR that are owned by or licensed to the Supplier and which are or have been developed independently of this Contract (whether prior to the Effective Date or otherwise);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"Supplier Existing IPR Licence"</w:t>
            </w:r>
          </w:p>
        </w:tc>
        <w:tc>
          <w:tcPr>
            <w:tcW w:w="5816" w:type="dxa"/>
            <w:shd w:val="clear" w:color="auto" w:fill="auto"/>
          </w:tcPr>
          <w:p w:rsidR="009F6891" w:rsidRDefault="006958CC">
            <w:pPr>
              <w:pBdr>
                <w:top w:val="nil"/>
                <w:left w:val="nil"/>
                <w:bottom w:val="nil"/>
                <w:right w:val="nil"/>
                <w:between w:val="nil"/>
              </w:pBdr>
              <w:tabs>
                <w:tab w:val="left" w:pos="0"/>
              </w:tabs>
              <w:spacing w:before="120" w:after="120" w:line="240" w:lineRule="auto"/>
              <w:ind w:left="169"/>
              <w:rPr>
                <w:rFonts w:ascii="Arial" w:eastAsia="Arial" w:hAnsi="Arial" w:cs="Arial"/>
                <w:color w:val="000000"/>
                <w:sz w:val="24"/>
                <w:szCs w:val="24"/>
              </w:rPr>
            </w:pPr>
            <w:r>
              <w:rPr>
                <w:rFonts w:ascii="Arial" w:eastAsia="Arial" w:hAnsi="Arial" w:cs="Arial"/>
                <w:color w:val="000000"/>
                <w:sz w:val="24"/>
                <w:szCs w:val="24"/>
              </w:rPr>
              <w:t>means a licence to be offered by the Supplier to the Supplier Existing IPR as set out in Schedule 36 (Intellectual Property Rights);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"Supplier Group"</w:t>
            </w:r>
          </w:p>
        </w:tc>
        <w:tc>
          <w:tcPr>
            <w:tcW w:w="5816" w:type="dxa"/>
            <w:shd w:val="clear" w:color="auto" w:fill="auto"/>
          </w:tcPr>
          <w:p w:rsidR="009F6891" w:rsidRDefault="006958CC">
            <w:pPr>
              <w:pBdr>
                <w:top w:val="nil"/>
                <w:left w:val="nil"/>
                <w:bottom w:val="nil"/>
                <w:right w:val="nil"/>
                <w:between w:val="nil"/>
              </w:pBdr>
              <w:tabs>
                <w:tab w:val="left" w:pos="0"/>
              </w:tabs>
              <w:spacing w:before="120" w:after="120" w:line="240" w:lineRule="auto"/>
              <w:ind w:left="169"/>
              <w:rPr>
                <w:rFonts w:ascii="Arial" w:eastAsia="Arial" w:hAnsi="Arial" w:cs="Arial"/>
                <w:color w:val="000000"/>
                <w:sz w:val="24"/>
                <w:szCs w:val="24"/>
              </w:rPr>
            </w:pPr>
            <w:r>
              <w:rPr>
                <w:rFonts w:ascii="Arial" w:eastAsia="Arial" w:hAnsi="Arial" w:cs="Arial"/>
                <w:color w:val="000000"/>
                <w:sz w:val="24"/>
                <w:szCs w:val="24"/>
              </w:rPr>
              <w:t>means the Supplier, its Dependent Parent Undertakings and all Subsidiary Undertakings and Associates of such Dependent Parent Undertakings;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"Supplier New and Existing IPR Licence"</w:t>
            </w:r>
          </w:p>
        </w:tc>
        <w:tc>
          <w:tcPr>
            <w:tcW w:w="5816" w:type="dxa"/>
            <w:shd w:val="clear" w:color="auto" w:fill="auto"/>
          </w:tcPr>
          <w:p w:rsidR="009F6891" w:rsidRDefault="006958CC">
            <w:pPr>
              <w:pBdr>
                <w:top w:val="nil"/>
                <w:left w:val="nil"/>
                <w:bottom w:val="nil"/>
                <w:right w:val="nil"/>
                <w:between w:val="nil"/>
              </w:pBdr>
              <w:tabs>
                <w:tab w:val="left" w:pos="0"/>
              </w:tabs>
              <w:spacing w:before="120" w:after="120" w:line="240" w:lineRule="auto"/>
              <w:ind w:left="169"/>
              <w:rPr>
                <w:color w:val="000000"/>
              </w:rPr>
            </w:pPr>
            <w:r>
              <w:rPr>
                <w:rFonts w:ascii="Arial" w:eastAsia="Arial" w:hAnsi="Arial" w:cs="Arial"/>
                <w:color w:val="000000"/>
                <w:sz w:val="24"/>
                <w:szCs w:val="24"/>
              </w:rPr>
              <w:t xml:space="preserve">means a licence to be offered by the Supplier to the New IPR and Supplier Existing IPR as set out in Schedule 36 (Intellectual Property Rights) </w:t>
            </w:r>
            <w:r w:rsidRPr="00F5737C">
              <w:rPr>
                <w:rFonts w:ascii="Arial" w:eastAsia="Arial" w:hAnsi="Arial" w:cs="Arial"/>
                <w:color w:val="000000"/>
                <w:sz w:val="24"/>
                <w:szCs w:val="24"/>
              </w:rPr>
              <w:t>but excluding Buyer Software</w:t>
            </w:r>
            <w:r w:rsidR="00F5737C" w:rsidRPr="00F5737C">
              <w:rPr>
                <w:rFonts w:ascii="Arial" w:eastAsia="Arial" w:hAnsi="Arial" w:cs="Arial"/>
                <w:color w:val="000000"/>
                <w:sz w:val="24"/>
                <w:szCs w:val="24"/>
              </w:rPr>
              <w: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5816" w:type="dxa"/>
            <w:shd w:val="clear" w:color="auto" w:fill="auto"/>
          </w:tcPr>
          <w:p w:rsidR="009F6891" w:rsidRDefault="006958CC">
            <w:pPr>
              <w:pBdr>
                <w:top w:val="nil"/>
                <w:left w:val="nil"/>
                <w:bottom w:val="nil"/>
                <w:right w:val="nil"/>
                <w:between w:val="nil"/>
              </w:pBdr>
              <w:tabs>
                <w:tab w:val="left" w:pos="0"/>
              </w:tabs>
              <w:spacing w:before="120" w:after="120" w:line="240" w:lineRule="auto"/>
              <w:ind w:left="169"/>
              <w:rPr>
                <w:rFonts w:ascii="Arial" w:eastAsia="Arial" w:hAnsi="Arial" w:cs="Arial"/>
                <w:color w:val="000000"/>
                <w:sz w:val="24"/>
                <w:szCs w:val="24"/>
              </w:rPr>
            </w:pPr>
            <w:r>
              <w:rPr>
                <w:rFonts w:ascii="Arial" w:eastAsia="Arial" w:hAnsi="Arial" w:cs="Arial"/>
                <w:color w:val="000000"/>
                <w:sz w:val="24"/>
                <w:szCs w:val="24"/>
              </w:rPr>
              <w:t>where the Supplier has failed to:</w:t>
            </w:r>
          </w:p>
          <w:p w:rsidR="009F6891" w:rsidRDefault="006958CC">
            <w:pPr>
              <w:numPr>
                <w:ilvl w:val="0"/>
                <w:numId w:val="36"/>
              </w:numPr>
              <w:pBdr>
                <w:top w:val="nil"/>
                <w:left w:val="nil"/>
                <w:bottom w:val="nil"/>
                <w:right w:val="nil"/>
                <w:between w:val="nil"/>
              </w:pBdr>
              <w:tabs>
                <w:tab w:val="left" w:pos="0"/>
              </w:tabs>
              <w:spacing w:before="120" w:after="120" w:line="240" w:lineRule="auto"/>
              <w:ind w:left="169" w:firstLine="0"/>
              <w:rPr>
                <w:rFonts w:ascii="Arial" w:eastAsia="Arial" w:hAnsi="Arial" w:cs="Arial"/>
                <w:color w:val="000000"/>
              </w:rPr>
            </w:pPr>
            <w:r>
              <w:rPr>
                <w:rFonts w:ascii="Arial" w:eastAsia="Arial" w:hAnsi="Arial" w:cs="Arial"/>
                <w:color w:val="000000"/>
                <w:sz w:val="24"/>
                <w:szCs w:val="24"/>
              </w:rPr>
              <w:t>Achieve a Milestone by its Milestone Date;</w:t>
            </w:r>
          </w:p>
          <w:p w:rsidR="009F6891" w:rsidRDefault="006958CC">
            <w:pPr>
              <w:numPr>
                <w:ilvl w:val="0"/>
                <w:numId w:val="36"/>
              </w:numPr>
              <w:pBdr>
                <w:top w:val="nil"/>
                <w:left w:val="nil"/>
                <w:bottom w:val="nil"/>
                <w:right w:val="nil"/>
                <w:between w:val="nil"/>
              </w:pBdr>
              <w:tabs>
                <w:tab w:val="left" w:pos="-551"/>
              </w:tabs>
              <w:spacing w:before="120" w:after="120" w:line="240" w:lineRule="auto"/>
              <w:ind w:left="720" w:hanging="551"/>
              <w:rPr>
                <w:rFonts w:ascii="Arial" w:eastAsia="Arial" w:hAnsi="Arial" w:cs="Arial"/>
                <w:color w:val="000000"/>
              </w:rPr>
            </w:pPr>
            <w:r>
              <w:rPr>
                <w:rFonts w:ascii="Arial" w:eastAsia="Arial" w:hAnsi="Arial" w:cs="Arial"/>
                <w:color w:val="000000"/>
                <w:sz w:val="24"/>
                <w:szCs w:val="24"/>
              </w:rPr>
              <w:t xml:space="preserve">provide the Goods and/or Services in accordance with the Service </w:t>
            </w:r>
            <w:proofErr w:type="gramStart"/>
            <w:r>
              <w:rPr>
                <w:rFonts w:ascii="Arial" w:eastAsia="Arial" w:hAnsi="Arial" w:cs="Arial"/>
                <w:color w:val="000000"/>
                <w:sz w:val="24"/>
                <w:szCs w:val="24"/>
              </w:rPr>
              <w:t>Levels ;</w:t>
            </w:r>
            <w:proofErr w:type="gramEnd"/>
            <w:r>
              <w:rPr>
                <w:rFonts w:ascii="Arial" w:eastAsia="Arial" w:hAnsi="Arial" w:cs="Arial"/>
                <w:color w:val="000000"/>
                <w:sz w:val="24"/>
                <w:szCs w:val="24"/>
              </w:rPr>
              <w:t xml:space="preserve"> and/or</w:t>
            </w:r>
          </w:p>
          <w:p w:rsidR="009F6891" w:rsidRDefault="006958CC">
            <w:pPr>
              <w:numPr>
                <w:ilvl w:val="0"/>
                <w:numId w:val="36"/>
              </w:numPr>
              <w:pBdr>
                <w:top w:val="nil"/>
                <w:left w:val="nil"/>
                <w:bottom w:val="nil"/>
                <w:right w:val="nil"/>
                <w:between w:val="nil"/>
              </w:pBdr>
              <w:tabs>
                <w:tab w:val="left" w:pos="0"/>
              </w:tabs>
              <w:spacing w:before="120" w:after="120" w:line="240" w:lineRule="auto"/>
              <w:ind w:left="169" w:firstLine="0"/>
              <w:rPr>
                <w:rFonts w:ascii="Arial" w:eastAsia="Arial" w:hAnsi="Arial" w:cs="Arial"/>
                <w:color w:val="000000"/>
              </w:rPr>
            </w:pPr>
            <w:r>
              <w:rPr>
                <w:rFonts w:ascii="Arial" w:eastAsia="Arial" w:hAnsi="Arial" w:cs="Arial"/>
                <w:color w:val="000000"/>
                <w:sz w:val="24"/>
                <w:szCs w:val="24"/>
              </w:rPr>
              <w:t>comply with an obligation under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"Supplier Profit"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in relation to a period, the difference between the total Charges (in nominal cash flow terms but excluding any Deductions and total Costs (in </w:t>
            </w:r>
            <w:r>
              <w:rPr>
                <w:rFonts w:ascii="Arial" w:eastAsia="Arial" w:hAnsi="Arial" w:cs="Arial"/>
                <w:color w:val="000000"/>
                <w:sz w:val="24"/>
                <w:szCs w:val="24"/>
              </w:rPr>
              <w:lastRenderedPageBreak/>
              <w:t>nominal cash flow terms) in respect of this Contract for the relevant period;</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"Supplier Profit Margin"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"Supplier Staff"</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"Supplier System"</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5816" w:type="dxa"/>
            <w:shd w:val="clear" w:color="auto" w:fill="auto"/>
          </w:tcPr>
          <w:p w:rsidR="009F6891" w:rsidRDefault="006958CC">
            <w:pPr>
              <w:numPr>
                <w:ilvl w:val="0"/>
                <w:numId w:val="18"/>
              </w:numPr>
              <w:pBdr>
                <w:top w:val="nil"/>
                <w:left w:val="nil"/>
                <w:bottom w:val="nil"/>
                <w:right w:val="nil"/>
                <w:between w:val="nil"/>
              </w:pBdr>
              <w:tabs>
                <w:tab w:val="left" w:pos="-718"/>
              </w:tabs>
              <w:spacing w:before="120" w:after="120" w:line="240" w:lineRule="auto"/>
              <w:rPr>
                <w:rFonts w:ascii="Arial" w:eastAsia="Arial" w:hAnsi="Arial" w:cs="Arial"/>
                <w:color w:val="000000"/>
              </w:rPr>
            </w:pPr>
            <w:bookmarkStart w:id="12" w:name="_3rdcrjn" w:colFirst="0" w:colLast="0"/>
            <w:bookmarkEnd w:id="12"/>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9F6891" w:rsidRDefault="006958CC">
            <w:pPr>
              <w:numPr>
                <w:ilvl w:val="0"/>
                <w:numId w:val="18"/>
              </w:numPr>
              <w:pBdr>
                <w:top w:val="nil"/>
                <w:left w:val="nil"/>
                <w:bottom w:val="nil"/>
                <w:right w:val="nil"/>
                <w:between w:val="nil"/>
              </w:pBdr>
              <w:tabs>
                <w:tab w:val="left" w:pos="-718"/>
              </w:tabs>
              <w:spacing w:before="120" w:after="120" w:line="240" w:lineRule="auto"/>
              <w:rPr>
                <w:rFonts w:ascii="Arial" w:eastAsia="Arial" w:hAnsi="Arial" w:cs="Arial"/>
                <w:color w:val="000000"/>
              </w:rPr>
            </w:pPr>
            <w:bookmarkStart w:id="13" w:name="_26in1rg" w:colFirst="0" w:colLast="0"/>
            <w:bookmarkEnd w:id="13"/>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Contract;</w:t>
            </w:r>
          </w:p>
          <w:p w:rsidR="009F6891" w:rsidRDefault="006958CC">
            <w:pPr>
              <w:numPr>
                <w:ilvl w:val="0"/>
                <w:numId w:val="18"/>
              </w:numPr>
              <w:pBdr>
                <w:top w:val="nil"/>
                <w:left w:val="nil"/>
                <w:bottom w:val="nil"/>
                <w:right w:val="nil"/>
                <w:between w:val="nil"/>
              </w:pBdr>
              <w:tabs>
                <w:tab w:val="left" w:pos="-718"/>
              </w:tabs>
              <w:spacing w:before="120" w:after="120" w:line="240" w:lineRule="auto"/>
              <w:rPr>
                <w:color w:val="000000"/>
              </w:rPr>
            </w:pPr>
            <w:r>
              <w:rPr>
                <w:rFonts w:ascii="Arial" w:eastAsia="Arial" w:hAnsi="Arial" w:cs="Arial"/>
                <w:color w:val="000000"/>
                <w:sz w:val="24"/>
                <w:szCs w:val="24"/>
              </w:rPr>
              <w:t xml:space="preserve">information derived from any of any information, however it is conveyed, that relates to the business, affairs, developments, IPR of the Supplier (including the Supplier Existing IPR) trade secrets, Know-How, and/or personnel of the Supplier; and any other information clearly designated as being confidential (whether or not it is marked as "confidential") or which ought reasonably to be considered to be confidential and which comes (or has come) to the Supplier’s attention or into the </w:t>
            </w:r>
            <w:r>
              <w:rPr>
                <w:rFonts w:ascii="Arial" w:eastAsia="Arial" w:hAnsi="Arial" w:cs="Arial"/>
                <w:color w:val="000000"/>
                <w:sz w:val="24"/>
                <w:szCs w:val="24"/>
              </w:rPr>
              <w:lastRenderedPageBreak/>
              <w:t>Supplier’s possession in connection with this Contract; above;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"Supplier's Contract Manager"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person identified in the Award Form appointed by the Supplier to oversee the operation of this Contract and any alternative person whom the Supplier intends to appoint to the role, provided that the Supplier informs the Buyer prior to the appointment;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document at Annex 1 of Schedule 18 (Supply Chain Visibility);</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this Contract detailed in the information are properly payable;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"Tender Response"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tender submitted by the Supplier to the Buyer and annexed to or referred to in Schedule 4 (Tender);</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Schedule 30 (Exit Management);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Schedule 30 (Exit Management);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this Contract on a specified date and setting out the grounds for termination;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"Test Issue"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"Test Plan"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 plan:</w:t>
            </w:r>
          </w:p>
          <w:p w:rsidR="009F6891" w:rsidRDefault="006958CC">
            <w:pPr>
              <w:numPr>
                <w:ilvl w:val="0"/>
                <w:numId w:val="20"/>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 xml:space="preserve">for the Testing of the Deliverables; and </w:t>
            </w:r>
          </w:p>
          <w:p w:rsidR="009F6891" w:rsidRDefault="006958CC">
            <w:pPr>
              <w:numPr>
                <w:ilvl w:val="0"/>
                <w:numId w:val="20"/>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setting out other agreed criteria related to the achievement of Milestones;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"Tests and Testing"</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color w:val="000000"/>
              </w:rPr>
            </w:pPr>
            <w:r>
              <w:rPr>
                <w:rFonts w:ascii="Arial" w:eastAsia="Arial" w:hAnsi="Arial" w:cs="Arial"/>
                <w:color w:val="000000"/>
                <w:sz w:val="24"/>
                <w:szCs w:val="24"/>
              </w:rPr>
              <w:t>any tests required to be carried out pursuant to this Contract as set out in the Test Plan or elsewhere in this Contract and "</w:t>
            </w:r>
            <w:r>
              <w:rPr>
                <w:rFonts w:ascii="Arial" w:eastAsia="Arial" w:hAnsi="Arial" w:cs="Arial"/>
                <w:b/>
                <w:color w:val="000000"/>
                <w:sz w:val="24"/>
                <w:szCs w:val="24"/>
              </w:rPr>
              <w:t>Tested</w:t>
            </w:r>
            <w:r>
              <w:rPr>
                <w:rFonts w:ascii="Arial" w:eastAsia="Arial" w:hAnsi="Arial" w:cs="Arial"/>
                <w:color w:val="000000"/>
                <w:sz w:val="24"/>
                <w:szCs w:val="24"/>
              </w:rPr>
              <w:t>" shall be construed accordingly;</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"Third Party IPR"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"Third Party IPR Licence"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means a licence to the Third Party IPR as set out in Paragraph 1.6 of Schedule 36 (Intellectual Property Rights);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this Contract, including any changes to this Contract agreed from time to time, except for – </w:t>
            </w:r>
          </w:p>
          <w:p w:rsidR="009F6891" w:rsidRDefault="006958CC">
            <w:pPr>
              <w:numPr>
                <w:ilvl w:val="0"/>
                <w:numId w:val="16"/>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any information which is exempt from disclosure in accordance with the provisions of the FOIA, which shall be determined by the Buyer; and</w:t>
            </w:r>
          </w:p>
          <w:p w:rsidR="009F6891" w:rsidRDefault="006958CC">
            <w:pPr>
              <w:numPr>
                <w:ilvl w:val="0"/>
                <w:numId w:val="16"/>
              </w:numPr>
              <w:pBdr>
                <w:top w:val="nil"/>
                <w:left w:val="nil"/>
                <w:bottom w:val="nil"/>
                <w:right w:val="nil"/>
                <w:between w:val="nil"/>
              </w:pBdr>
              <w:tabs>
                <w:tab w:val="left" w:pos="-718"/>
              </w:tabs>
              <w:spacing w:before="120" w:after="120" w:line="240" w:lineRule="auto"/>
              <w:rPr>
                <w:rFonts w:ascii="Arial" w:eastAsia="Arial" w:hAnsi="Arial" w:cs="Arial"/>
                <w:color w:val="000000"/>
              </w:rPr>
            </w:pPr>
            <w:r>
              <w:rPr>
                <w:rFonts w:ascii="Arial" w:eastAsia="Arial" w:hAnsi="Arial" w:cs="Arial"/>
                <w:color w:val="000000"/>
                <w:sz w:val="24"/>
                <w:szCs w:val="24"/>
              </w:rPr>
              <w:t>Commercially Sensitive Information;</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pursuant to this Contract which the Supplier is required to provide to the Buyer in accordance with the reporting requirements in Schedule 6 (Transparency Reports);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"UK GDPR"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as set out in section 3(10) of the DPA 2018, supplemented by section 205(4) of the DPA 2018;</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"Variation"</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means a variation to this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"Variation Form"</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form set out in Schedule 21 (Variation Form);</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procedure set out in Clause 28 (Changing the contract);</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"VAT"</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lastRenderedPageBreak/>
              <w:t>"VCSE"</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"Verification Period"</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the table in Annex 2 of Schedule 3 (Charges);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"Work Day"</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"Work Hours"</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"Worker"</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9F6891">
        <w:tc>
          <w:tcPr>
            <w:tcW w:w="2263" w:type="dxa"/>
            <w:shd w:val="clear" w:color="auto" w:fill="auto"/>
          </w:tcPr>
          <w:p w:rsidR="009F6891" w:rsidRDefault="006958CC">
            <w:pPr>
              <w:pBdr>
                <w:top w:val="nil"/>
                <w:left w:val="nil"/>
                <w:bottom w:val="nil"/>
                <w:right w:val="nil"/>
                <w:between w:val="nil"/>
              </w:pBdr>
              <w:spacing w:before="120" w:after="120" w:line="240" w:lineRule="auto"/>
              <w:ind w:left="56"/>
              <w:rPr>
                <w:rFonts w:ascii="Arial" w:eastAsia="Arial" w:hAnsi="Arial" w:cs="Arial"/>
                <w:b/>
                <w:color w:val="000000"/>
                <w:sz w:val="24"/>
                <w:szCs w:val="24"/>
              </w:rPr>
            </w:pPr>
            <w:r>
              <w:rPr>
                <w:rFonts w:ascii="Arial" w:eastAsia="Arial" w:hAnsi="Arial" w:cs="Arial"/>
                <w:b/>
                <w:color w:val="000000"/>
                <w:sz w:val="24"/>
                <w:szCs w:val="24"/>
              </w:rPr>
              <w:t>"Working Day"</w:t>
            </w:r>
          </w:p>
        </w:tc>
        <w:tc>
          <w:tcPr>
            <w:tcW w:w="5816" w:type="dxa"/>
            <w:shd w:val="clear" w:color="auto" w:fill="auto"/>
          </w:tcPr>
          <w:p w:rsidR="009F6891" w:rsidRDefault="006958CC">
            <w:pPr>
              <w:pBdr>
                <w:top w:val="nil"/>
                <w:left w:val="nil"/>
                <w:bottom w:val="nil"/>
                <w:right w:val="nil"/>
                <w:between w:val="nil"/>
              </w:pBdr>
              <w:tabs>
                <w:tab w:val="left" w:pos="-179"/>
              </w:tabs>
              <w:spacing w:before="120"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any day other than a Saturday or Sunday or public holiday in England and Wales unless specified otherwise by the Parties in the Award Form. </w:t>
            </w:r>
          </w:p>
        </w:tc>
      </w:tr>
    </w:tbl>
    <w:p w:rsidR="009F6891" w:rsidRDefault="009F6891">
      <w:pPr>
        <w:pBdr>
          <w:top w:val="nil"/>
          <w:left w:val="nil"/>
          <w:bottom w:val="nil"/>
          <w:right w:val="nil"/>
          <w:between w:val="nil"/>
        </w:pBdr>
        <w:spacing w:after="0" w:line="240" w:lineRule="auto"/>
        <w:rPr>
          <w:rFonts w:ascii="Arial" w:eastAsia="Arial" w:hAnsi="Arial" w:cs="Arial"/>
          <w:color w:val="000000"/>
          <w:sz w:val="24"/>
          <w:szCs w:val="24"/>
        </w:rPr>
      </w:pPr>
    </w:p>
    <w:sectPr w:rsidR="009F6891">
      <w:headerReference w:type="default" r:id="rId11"/>
      <w:footerReference w:type="defaul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4E79" w:rsidRDefault="001C4E79">
      <w:pPr>
        <w:spacing w:after="0" w:line="240" w:lineRule="auto"/>
      </w:pPr>
      <w:r>
        <w:separator/>
      </w:r>
    </w:p>
  </w:endnote>
  <w:endnote w:type="continuationSeparator" w:id="0">
    <w:p w:rsidR="001C4E79" w:rsidRDefault="001C4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6891" w:rsidRDefault="009F6891">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color w:val="000000"/>
      </w:rPr>
    </w:pPr>
  </w:p>
  <w:p w:rsidR="009F6891" w:rsidRDefault="006958CC">
    <w:pPr>
      <w:pBdr>
        <w:top w:val="nil"/>
        <w:left w:val="nil"/>
        <w:bottom w:val="nil"/>
        <w:right w:val="nil"/>
        <w:between w:val="nil"/>
      </w:pBdr>
      <w:tabs>
        <w:tab w:val="right" w:pos="9026"/>
      </w:tabs>
      <w:spacing w:after="0"/>
      <w:rPr>
        <w:color w:val="000000"/>
      </w:rPr>
    </w:pPr>
    <w:r>
      <w:rPr>
        <w:rFonts w:ascii="Arial" w:eastAsia="Arial" w:hAnsi="Arial" w:cs="Arial"/>
        <w:color w:val="BFBFBF"/>
        <w:sz w:val="20"/>
        <w:szCs w:val="20"/>
      </w:rPr>
      <w:t xml:space="preserve">v.1.2 </w:t>
    </w:r>
    <w:r>
      <w:rPr>
        <w:rFonts w:ascii="Arial" w:eastAsia="Arial" w:hAnsi="Arial" w:cs="Arial"/>
        <w:color w:val="BFBFBF"/>
        <w:sz w:val="20"/>
        <w:szCs w:val="20"/>
      </w:rPr>
      <w:tab/>
    </w:r>
    <w:r>
      <w:rPr>
        <w:color w:val="000000"/>
      </w:rPr>
      <w:fldChar w:fldCharType="begin"/>
    </w:r>
    <w:r>
      <w:rPr>
        <w:color w:val="000000"/>
      </w:rPr>
      <w:instrText>PAGE</w:instrText>
    </w:r>
    <w:r w:rsidR="00A73F92">
      <w:rPr>
        <w:color w:val="000000"/>
      </w:rPr>
      <w:fldChar w:fldCharType="separate"/>
    </w:r>
    <w:r w:rsidR="00A73F92">
      <w:rPr>
        <w:noProof/>
        <w:color w:val="000000"/>
      </w:rPr>
      <w:t>1</w:t>
    </w:r>
    <w:r>
      <w:rPr>
        <w:color w:val="000000"/>
      </w:rPr>
      <w:fldChar w:fldCharType="end"/>
    </w:r>
  </w:p>
  <w:p w:rsidR="009F6891" w:rsidRDefault="009F6891">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4E79" w:rsidRDefault="001C4E79">
      <w:pPr>
        <w:spacing w:after="0" w:line="240" w:lineRule="auto"/>
      </w:pPr>
      <w:r>
        <w:separator/>
      </w:r>
    </w:p>
  </w:footnote>
  <w:footnote w:type="continuationSeparator" w:id="0">
    <w:p w:rsidR="001C4E79" w:rsidRDefault="001C4E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6891" w:rsidRDefault="006958C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4" w:name="_lnxbz9" w:colFirst="0" w:colLast="0"/>
    <w:bookmarkEnd w:id="14"/>
    <w:r>
      <w:rPr>
        <w:rFonts w:ascii="Arial" w:eastAsia="Arial" w:hAnsi="Arial" w:cs="Arial"/>
        <w:color w:val="000000"/>
        <w:sz w:val="20"/>
        <w:szCs w:val="20"/>
      </w:rPr>
      <w:t xml:space="preserve">Schedule 1 (Definitions), Crown Copyright 2023, </w:t>
    </w:r>
    <w:r w:rsidR="00A73F92" w:rsidRPr="00A73F92">
      <w:rPr>
        <w:rFonts w:ascii="Arial" w:eastAsia="Arial" w:hAnsi="Arial" w:cs="Arial"/>
        <w:color w:val="000000"/>
        <w:sz w:val="20"/>
        <w:szCs w:val="20"/>
      </w:rPr>
      <w:t>RM6385 Energy Trading and Risk Management (ETRM) System</w:t>
    </w:r>
  </w:p>
  <w:p w:rsidR="009F6891" w:rsidRDefault="009F6891">
    <w:pPr>
      <w:pBdr>
        <w:top w:val="nil"/>
        <w:left w:val="nil"/>
        <w:bottom w:val="nil"/>
        <w:right w:val="nil"/>
        <w:between w:val="nil"/>
      </w:pBdr>
      <w:tabs>
        <w:tab w:val="left" w:pos="3800"/>
        <w:tab w:val="center" w:pos="4513"/>
        <w:tab w:val="right" w:pos="9026"/>
      </w:tabs>
      <w:spacing w:after="0" w:line="240" w:lineRule="auto"/>
      <w:rPr>
        <w:rFonts w:ascii="Arial" w:eastAsia="Arial" w:hAnsi="Arial" w:cs="Arial"/>
        <w:color w:val="000000"/>
        <w:sz w:val="20"/>
        <w:szCs w:val="20"/>
      </w:rPr>
    </w:pPr>
  </w:p>
  <w:p w:rsidR="009F6891" w:rsidRDefault="009F6891">
    <w:pPr>
      <w:pBdr>
        <w:top w:val="nil"/>
        <w:left w:val="nil"/>
        <w:bottom w:val="nil"/>
        <w:right w:val="nil"/>
        <w:between w:val="nil"/>
      </w:pBdr>
      <w:tabs>
        <w:tab w:val="left" w:pos="3800"/>
        <w:tab w:val="center" w:pos="4513"/>
        <w:tab w:val="right" w:pos="9026"/>
      </w:tabs>
      <w:spacing w:after="0" w:line="240" w:lineRule="auto"/>
      <w:rPr>
        <w:rFonts w:ascii="Arial" w:eastAsia="Arial" w:hAnsi="Arial" w:cs="Arial"/>
        <w:color w:val="BFBFBF"/>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223ED"/>
    <w:multiLevelType w:val="multilevel"/>
    <w:tmpl w:val="C4D6D4EC"/>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2273D13"/>
    <w:multiLevelType w:val="multilevel"/>
    <w:tmpl w:val="74F07EEC"/>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2" w15:restartNumberingAfterBreak="0">
    <w:nsid w:val="04DE5FBA"/>
    <w:multiLevelType w:val="multilevel"/>
    <w:tmpl w:val="3DD442D4"/>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3" w15:restartNumberingAfterBreak="0">
    <w:nsid w:val="0A242D62"/>
    <w:multiLevelType w:val="multilevel"/>
    <w:tmpl w:val="A70E463E"/>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4" w15:restartNumberingAfterBreak="0">
    <w:nsid w:val="0A7264CC"/>
    <w:multiLevelType w:val="multilevel"/>
    <w:tmpl w:val="49CCA61C"/>
    <w:lvl w:ilvl="0">
      <w:start w:val="1"/>
      <w:numFmt w:val="decimal"/>
      <w:lvlText w:val="%1."/>
      <w:lvlJc w:val="left"/>
      <w:pPr>
        <w:ind w:left="360" w:hanging="360"/>
      </w:pPr>
      <w:rPr>
        <w:smallCaps w:val="0"/>
        <w:strike w:val="0"/>
        <w:color w:val="000000"/>
        <w:sz w:val="22"/>
        <w:szCs w:val="22"/>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sz w:val="22"/>
        <w:szCs w:val="22"/>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349"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0AF62395"/>
    <w:multiLevelType w:val="multilevel"/>
    <w:tmpl w:val="81041586"/>
    <w:lvl w:ilvl="0">
      <w:start w:val="1"/>
      <w:numFmt w:val="decimal"/>
      <w:lvlText w:val="%1."/>
      <w:lvlJc w:val="left"/>
      <w:pPr>
        <w:ind w:left="360" w:hanging="360"/>
      </w:pPr>
      <w:rPr>
        <w:smallCaps w:val="0"/>
        <w:strike w:val="0"/>
        <w:color w:val="000000"/>
        <w:sz w:val="22"/>
        <w:szCs w:val="22"/>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sz w:val="22"/>
        <w:szCs w:val="22"/>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349"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BCB223C"/>
    <w:multiLevelType w:val="multilevel"/>
    <w:tmpl w:val="2ECA7282"/>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7" w15:restartNumberingAfterBreak="0">
    <w:nsid w:val="0E37023F"/>
    <w:multiLevelType w:val="multilevel"/>
    <w:tmpl w:val="A9467AC4"/>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8" w15:restartNumberingAfterBreak="0">
    <w:nsid w:val="0F2F1FAA"/>
    <w:multiLevelType w:val="multilevel"/>
    <w:tmpl w:val="EB9A2B40"/>
    <w:lvl w:ilvl="0">
      <w:start w:val="1"/>
      <w:numFmt w:val="decimal"/>
      <w:lvlText w:val="%1."/>
      <w:lvlJc w:val="left"/>
      <w:pPr>
        <w:ind w:left="360" w:hanging="360"/>
      </w:pPr>
      <w:rPr>
        <w:smallCaps w:val="0"/>
        <w:strike w:val="0"/>
        <w:color w:val="000000"/>
        <w:sz w:val="22"/>
        <w:szCs w:val="22"/>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sz w:val="22"/>
        <w:szCs w:val="22"/>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2835" w:hanging="566"/>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0FA56A89"/>
    <w:multiLevelType w:val="multilevel"/>
    <w:tmpl w:val="92EE232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0" w15:restartNumberingAfterBreak="0">
    <w:nsid w:val="11691A9C"/>
    <w:multiLevelType w:val="multilevel"/>
    <w:tmpl w:val="0900C420"/>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1" w15:restartNumberingAfterBreak="0">
    <w:nsid w:val="12D4783B"/>
    <w:multiLevelType w:val="multilevel"/>
    <w:tmpl w:val="7C32E79A"/>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134B5E70"/>
    <w:multiLevelType w:val="multilevel"/>
    <w:tmpl w:val="90245242"/>
    <w:lvl w:ilvl="0">
      <w:start w:val="1"/>
      <w:numFmt w:val="lowerLetter"/>
      <w:lvlText w:val="(%1)"/>
      <w:lvlJc w:val="left"/>
      <w:pPr>
        <w:ind w:left="964" w:hanging="794"/>
      </w:pPr>
      <w:rPr>
        <w:rFonts w:ascii="Arial" w:eastAsia="Arial" w:hAnsi="Arial" w:cs="Arial"/>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3" w15:restartNumberingAfterBreak="0">
    <w:nsid w:val="154B104D"/>
    <w:multiLevelType w:val="multilevel"/>
    <w:tmpl w:val="27FC47CA"/>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4" w15:restartNumberingAfterBreak="0">
    <w:nsid w:val="16B60167"/>
    <w:multiLevelType w:val="multilevel"/>
    <w:tmpl w:val="E2B8331A"/>
    <w:lvl w:ilvl="0">
      <w:start w:val="1"/>
      <w:numFmt w:val="lowerLetter"/>
      <w:lvlText w:val="(%1)"/>
      <w:lvlJc w:val="left"/>
      <w:pPr>
        <w:ind w:left="964" w:hanging="794"/>
      </w:pPr>
      <w:rPr>
        <w:rFonts w:ascii="Arial" w:eastAsia="Arial" w:hAnsi="Arial" w:cs="Arial"/>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5" w15:restartNumberingAfterBreak="0">
    <w:nsid w:val="18E83D94"/>
    <w:multiLevelType w:val="multilevel"/>
    <w:tmpl w:val="38DE00C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6" w15:restartNumberingAfterBreak="0">
    <w:nsid w:val="1A7A7595"/>
    <w:multiLevelType w:val="multilevel"/>
    <w:tmpl w:val="52E44FAE"/>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1E207B8D"/>
    <w:multiLevelType w:val="multilevel"/>
    <w:tmpl w:val="438A557C"/>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8" w15:restartNumberingAfterBreak="0">
    <w:nsid w:val="1F651DDB"/>
    <w:multiLevelType w:val="multilevel"/>
    <w:tmpl w:val="01D0E5E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21736145"/>
    <w:multiLevelType w:val="multilevel"/>
    <w:tmpl w:val="D1343AD6"/>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0" w15:restartNumberingAfterBreak="0">
    <w:nsid w:val="27605562"/>
    <w:multiLevelType w:val="multilevel"/>
    <w:tmpl w:val="D206D38E"/>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2EAF1FCE"/>
    <w:multiLevelType w:val="multilevel"/>
    <w:tmpl w:val="9DA42F74"/>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2" w15:restartNumberingAfterBreak="0">
    <w:nsid w:val="2F0C2830"/>
    <w:multiLevelType w:val="multilevel"/>
    <w:tmpl w:val="D8C80E3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23" w15:restartNumberingAfterBreak="0">
    <w:nsid w:val="2F8005BA"/>
    <w:multiLevelType w:val="multilevel"/>
    <w:tmpl w:val="A192009A"/>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4" w15:restartNumberingAfterBreak="0">
    <w:nsid w:val="32A82785"/>
    <w:multiLevelType w:val="multilevel"/>
    <w:tmpl w:val="84A4F6C2"/>
    <w:lvl w:ilvl="0">
      <w:start w:val="1"/>
      <w:numFmt w:val="decimal"/>
      <w:lvlText w:val="%1."/>
      <w:lvlJc w:val="left"/>
      <w:pPr>
        <w:ind w:left="360" w:hanging="360"/>
      </w:pPr>
      <w:rPr>
        <w:smallCaps w:val="0"/>
        <w:strike w:val="0"/>
        <w:color w:val="000000"/>
        <w:sz w:val="22"/>
        <w:szCs w:val="22"/>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sz w:val="22"/>
        <w:szCs w:val="22"/>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349"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338E1C6C"/>
    <w:multiLevelType w:val="multilevel"/>
    <w:tmpl w:val="4696489E"/>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6" w15:restartNumberingAfterBreak="0">
    <w:nsid w:val="3BC53349"/>
    <w:multiLevelType w:val="multilevel"/>
    <w:tmpl w:val="4B7E6ECC"/>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7" w15:restartNumberingAfterBreak="0">
    <w:nsid w:val="3D7149C2"/>
    <w:multiLevelType w:val="multilevel"/>
    <w:tmpl w:val="948EACD0"/>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8" w15:restartNumberingAfterBreak="0">
    <w:nsid w:val="3EF9174A"/>
    <w:multiLevelType w:val="multilevel"/>
    <w:tmpl w:val="582E603E"/>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9" w15:restartNumberingAfterBreak="0">
    <w:nsid w:val="41CC5DF7"/>
    <w:multiLevelType w:val="multilevel"/>
    <w:tmpl w:val="1F5EC0D4"/>
    <w:lvl w:ilvl="0">
      <w:start w:val="1"/>
      <w:numFmt w:val="decimal"/>
      <w:lvlText w:val="%1."/>
      <w:lvlJc w:val="left"/>
      <w:pPr>
        <w:ind w:left="360" w:hanging="360"/>
      </w:pPr>
      <w:rPr>
        <w:smallCaps w:val="0"/>
        <w:strike w:val="0"/>
        <w:color w:val="000000"/>
        <w:sz w:val="22"/>
        <w:szCs w:val="22"/>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sz w:val="22"/>
        <w:szCs w:val="22"/>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349"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430675C4"/>
    <w:multiLevelType w:val="multilevel"/>
    <w:tmpl w:val="7DE89324"/>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31" w15:restartNumberingAfterBreak="0">
    <w:nsid w:val="450D42D2"/>
    <w:multiLevelType w:val="multilevel"/>
    <w:tmpl w:val="6784914C"/>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2" w15:restartNumberingAfterBreak="0">
    <w:nsid w:val="47E73B00"/>
    <w:multiLevelType w:val="multilevel"/>
    <w:tmpl w:val="6A5A760C"/>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3" w15:restartNumberingAfterBreak="0">
    <w:nsid w:val="4ABC6120"/>
    <w:multiLevelType w:val="multilevel"/>
    <w:tmpl w:val="C4C65D52"/>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4" w15:restartNumberingAfterBreak="0">
    <w:nsid w:val="4C3B4A27"/>
    <w:multiLevelType w:val="multilevel"/>
    <w:tmpl w:val="06C4C9A0"/>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5" w15:restartNumberingAfterBreak="0">
    <w:nsid w:val="5550314F"/>
    <w:multiLevelType w:val="multilevel"/>
    <w:tmpl w:val="DAD25ABE"/>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6" w15:restartNumberingAfterBreak="0">
    <w:nsid w:val="576C1286"/>
    <w:multiLevelType w:val="multilevel"/>
    <w:tmpl w:val="A3E4031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7" w15:restartNumberingAfterBreak="0">
    <w:nsid w:val="59D45300"/>
    <w:multiLevelType w:val="multilevel"/>
    <w:tmpl w:val="C8363B08"/>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8" w15:restartNumberingAfterBreak="0">
    <w:nsid w:val="5EFE0401"/>
    <w:multiLevelType w:val="multilevel"/>
    <w:tmpl w:val="B1B03F86"/>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9" w15:restartNumberingAfterBreak="0">
    <w:nsid w:val="6CAE0F35"/>
    <w:multiLevelType w:val="multilevel"/>
    <w:tmpl w:val="41280D4C"/>
    <w:lvl w:ilvl="0">
      <w:start w:val="1"/>
      <w:numFmt w:val="lowerLetter"/>
      <w:lvlText w:val="(%1)"/>
      <w:lvlJc w:val="left"/>
      <w:pPr>
        <w:ind w:left="964" w:hanging="794"/>
      </w:pPr>
      <w:rPr>
        <w:rFonts w:ascii="Arial" w:eastAsia="Arial" w:hAnsi="Arial" w:cs="Arial"/>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0" w15:restartNumberingAfterBreak="0">
    <w:nsid w:val="70787D4E"/>
    <w:multiLevelType w:val="multilevel"/>
    <w:tmpl w:val="CDAA7E80"/>
    <w:lvl w:ilvl="0">
      <w:start w:val="1"/>
      <w:numFmt w:val="decimal"/>
      <w:lvlText w:val="%1."/>
      <w:lvlJc w:val="left"/>
      <w:pPr>
        <w:ind w:left="360" w:hanging="360"/>
      </w:pPr>
      <w:rPr>
        <w:smallCaps w:val="0"/>
        <w:strike w:val="0"/>
        <w:color w:val="000000"/>
        <w:sz w:val="22"/>
        <w:szCs w:val="22"/>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sz w:val="22"/>
        <w:szCs w:val="22"/>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349"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744A1693"/>
    <w:multiLevelType w:val="multilevel"/>
    <w:tmpl w:val="74265402"/>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2" w15:restartNumberingAfterBreak="0">
    <w:nsid w:val="7677058C"/>
    <w:multiLevelType w:val="multilevel"/>
    <w:tmpl w:val="D42AEC0C"/>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3" w15:restartNumberingAfterBreak="0">
    <w:nsid w:val="790D3A32"/>
    <w:multiLevelType w:val="multilevel"/>
    <w:tmpl w:val="9DF2D614"/>
    <w:lvl w:ilvl="0">
      <w:start w:val="1"/>
      <w:numFmt w:val="decimal"/>
      <w:lvlText w:val="%1."/>
      <w:lvlJc w:val="left"/>
      <w:pPr>
        <w:ind w:left="360" w:hanging="360"/>
      </w:pPr>
      <w:rPr>
        <w:smallCaps w:val="0"/>
        <w:strike w:val="0"/>
        <w:color w:val="000000"/>
        <w:sz w:val="22"/>
        <w:szCs w:val="22"/>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sz w:val="22"/>
        <w:szCs w:val="22"/>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349" w:hanging="1080"/>
      </w:pPr>
      <w:rPr>
        <w:rFonts w:ascii="Arial" w:eastAsia="Arial" w:hAnsi="Arial" w:cs="Arial"/>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2"/>
  </w:num>
  <w:num w:numId="3">
    <w:abstractNumId w:val="19"/>
  </w:num>
  <w:num w:numId="4">
    <w:abstractNumId w:val="26"/>
  </w:num>
  <w:num w:numId="5">
    <w:abstractNumId w:val="1"/>
  </w:num>
  <w:num w:numId="6">
    <w:abstractNumId w:val="38"/>
  </w:num>
  <w:num w:numId="7">
    <w:abstractNumId w:val="22"/>
  </w:num>
  <w:num w:numId="8">
    <w:abstractNumId w:val="40"/>
  </w:num>
  <w:num w:numId="9">
    <w:abstractNumId w:val="23"/>
  </w:num>
  <w:num w:numId="10">
    <w:abstractNumId w:val="30"/>
  </w:num>
  <w:num w:numId="11">
    <w:abstractNumId w:val="21"/>
  </w:num>
  <w:num w:numId="12">
    <w:abstractNumId w:val="42"/>
  </w:num>
  <w:num w:numId="13">
    <w:abstractNumId w:val="16"/>
  </w:num>
  <w:num w:numId="14">
    <w:abstractNumId w:val="4"/>
  </w:num>
  <w:num w:numId="15">
    <w:abstractNumId w:val="8"/>
  </w:num>
  <w:num w:numId="16">
    <w:abstractNumId w:val="36"/>
  </w:num>
  <w:num w:numId="17">
    <w:abstractNumId w:val="12"/>
  </w:num>
  <w:num w:numId="18">
    <w:abstractNumId w:val="17"/>
  </w:num>
  <w:num w:numId="19">
    <w:abstractNumId w:val="43"/>
  </w:num>
  <w:num w:numId="20">
    <w:abstractNumId w:val="18"/>
  </w:num>
  <w:num w:numId="21">
    <w:abstractNumId w:val="14"/>
  </w:num>
  <w:num w:numId="22">
    <w:abstractNumId w:val="39"/>
  </w:num>
  <w:num w:numId="23">
    <w:abstractNumId w:val="24"/>
  </w:num>
  <w:num w:numId="24">
    <w:abstractNumId w:val="9"/>
  </w:num>
  <w:num w:numId="25">
    <w:abstractNumId w:val="35"/>
  </w:num>
  <w:num w:numId="26">
    <w:abstractNumId w:val="34"/>
  </w:num>
  <w:num w:numId="27">
    <w:abstractNumId w:val="27"/>
  </w:num>
  <w:num w:numId="28">
    <w:abstractNumId w:val="10"/>
  </w:num>
  <w:num w:numId="29">
    <w:abstractNumId w:val="28"/>
  </w:num>
  <w:num w:numId="30">
    <w:abstractNumId w:val="37"/>
  </w:num>
  <w:num w:numId="31">
    <w:abstractNumId w:val="13"/>
  </w:num>
  <w:num w:numId="32">
    <w:abstractNumId w:val="31"/>
  </w:num>
  <w:num w:numId="33">
    <w:abstractNumId w:val="29"/>
  </w:num>
  <w:num w:numId="34">
    <w:abstractNumId w:val="6"/>
  </w:num>
  <w:num w:numId="35">
    <w:abstractNumId w:val="25"/>
  </w:num>
  <w:num w:numId="36">
    <w:abstractNumId w:val="15"/>
  </w:num>
  <w:num w:numId="37">
    <w:abstractNumId w:val="11"/>
  </w:num>
  <w:num w:numId="38">
    <w:abstractNumId w:val="32"/>
  </w:num>
  <w:num w:numId="39">
    <w:abstractNumId w:val="7"/>
  </w:num>
  <w:num w:numId="40">
    <w:abstractNumId w:val="5"/>
  </w:num>
  <w:num w:numId="41">
    <w:abstractNumId w:val="0"/>
  </w:num>
  <w:num w:numId="42">
    <w:abstractNumId w:val="41"/>
  </w:num>
  <w:num w:numId="43">
    <w:abstractNumId w:val="20"/>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891"/>
    <w:rsid w:val="001C4E79"/>
    <w:rsid w:val="006958CC"/>
    <w:rsid w:val="009F6891"/>
    <w:rsid w:val="00A73F92"/>
    <w:rsid w:val="00F573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E3C56"/>
  <w15:docId w15:val="{D5E39D52-2FDD-48FF-AB2C-8C6672B9F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A73F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3F92"/>
  </w:style>
  <w:style w:type="paragraph" w:styleId="Footer">
    <w:name w:val="footer"/>
    <w:basedOn w:val="Normal"/>
    <w:link w:val="FooterChar"/>
    <w:uiPriority w:val="99"/>
    <w:unhideWhenUsed/>
    <w:rsid w:val="00A73F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3F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nationalarchives.gov.uk/doc/open-government-licence/version/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ov.uk/government/publications/blowing-the-whistle-list-of-prescribed-people-and-bodies--2/whistleblowing-list-of-prescribed-people-and-bodies" TargetMode="External"/><Relationship Id="rId4" Type="http://schemas.openxmlformats.org/officeDocument/2006/relationships/webSettings" Target="webSettings.xml"/><Relationship Id="rId9" Type="http://schemas.openxmlformats.org/officeDocument/2006/relationships/hyperlink" Target="https://www.gov.uk/government/publications/open-standards-principles/open-standards-principl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41</Pages>
  <Words>10659</Words>
  <Characters>60760</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Tetlow</dc:creator>
  <cp:lastModifiedBy>Paige Elliott</cp:lastModifiedBy>
  <cp:revision>3</cp:revision>
  <dcterms:created xsi:type="dcterms:W3CDTF">2024-10-30T16:43:00Z</dcterms:created>
  <dcterms:modified xsi:type="dcterms:W3CDTF">2024-11-11T14:49:00Z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f96841c6-4aaf-4c95-981c-f74652d96009</vt:lpwstr>
  </property>
</Properties>
</file>